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26000D" w:rsidRPr="008A7E71" w:rsidP="002F7B23" w14:paraId="11670C55" w14:textId="50B7F855">
      <w:pPr>
        <w:pStyle w:val="MainTitle"/>
        <w:spacing w:line="216" w:lineRule="auto"/>
      </w:pPr>
      <w:r w:rsidR="006B10D6">
        <w:drawing>
          <wp:anchor simplePos="0" relativeHeight="251658240" behindDoc="0" locked="1" layoutInCell="1" allowOverlap="1">
            <wp:simplePos x="0" y="0"/>
            <wp:positionH relativeFrom="margin">
              <wp:posOffset>5080000</wp:posOffset>
            </wp:positionH>
            <wp:positionV relativeFrom="margin">
              <wp:posOffset>6223000</wp:posOffset>
            </wp:positionV>
            <wp:extent cx="1645923" cy="1120142"/>
            <wp:wrapNone/>
            <wp:docPr id="100031" name="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-449580</wp:posOffset>
                </wp:positionH>
                <wp:positionV relativeFrom="page">
                  <wp:posOffset>2499360</wp:posOffset>
                </wp:positionV>
                <wp:extent cx="7772400" cy="3084195"/>
                <wp:effectExtent l="0" t="0" r="0" b="190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2400" cy="3084195"/>
                          <a:chOff x="0" y="0"/>
                          <a:chExt cx="7772400" cy="308419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7772400" cy="637607"/>
                            <a:chOff x="0" y="0"/>
                            <a:chExt cx="7772400" cy="637607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5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473"/>
                              <a:ext cx="7772400" cy="63513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 xmlns:wps="http://schemas.microsoft.com/office/word/2010/wordprocessingShape"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8760" y="0"/>
                              <a:ext cx="2293620" cy="3428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4AB" w:rsidRPr="008864AB" w:rsidP="008864AB" w14:textId="77777777">
                                <w:pPr>
                                  <w:pStyle w:val="SubHead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Important Dates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/>
                        </wps:wsp>
                      </wpg:grpSp>
                      <wps:wsp xmlns:wps="http://schemas.microsoft.com/office/word/2010/wordprocessingShape"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8280" y="373380"/>
                            <a:ext cx="2301240" cy="271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08C" w:rsidRPr="0024208C" w:rsidP="0024208C" w14:textId="77777777">
                              <w:pPr>
                                <w:pStyle w:val="SubHeader"/>
                              </w:pPr>
                              <w:r>
                                <w:t>Jan. 1, 2022</w:t>
                              </w:r>
                            </w:p>
                            <w:p w:rsidR="0024208C" w:rsidRPr="00D2167C" w:rsidP="00AE5D8E" w14:textId="339CFF07">
                              <w:pPr>
                                <w:pStyle w:val="BodyText"/>
                                <w:spacing w:after="120"/>
                              </w:pPr>
                              <w:r>
                                <w:t>The CARES Act allow</w:t>
                              </w:r>
                              <w:r w:rsidR="00033814">
                                <w:t>ed</w:t>
                              </w:r>
                              <w:r>
                                <w:t xml:space="preserve"> pre-deductible coverage of telehealth services for plan years beginning </w:t>
                              </w:r>
                              <w:r w:rsidR="00033814">
                                <w:t>before Jan. 1, 2022</w:t>
                              </w:r>
                              <w:r>
                                <w:t>.</w:t>
                              </w:r>
                            </w:p>
                            <w:p w:rsidR="0024208C" w:rsidP="0024208C" w14:textId="2F3AC19E">
                              <w:pPr>
                                <w:pStyle w:val="SubHeader"/>
                              </w:pPr>
                              <w:r>
                                <w:t>April 2022</w:t>
                              </w:r>
                              <w:r w:rsidR="009266E3">
                                <w:t>-</w:t>
                              </w:r>
                              <w:r>
                                <w:t>Dec</w:t>
                              </w:r>
                              <w:r w:rsidR="009266E3">
                                <w:t>ember</w:t>
                              </w:r>
                              <w:r>
                                <w:t xml:space="preserve"> 2022</w:t>
                              </w:r>
                            </w:p>
                            <w:p w:rsidR="0024208C" w:rsidP="00AE5D8E" w14:textId="29711F29">
                              <w:pPr>
                                <w:pStyle w:val="BodyText"/>
                                <w:spacing w:after="120"/>
                              </w:pPr>
                              <w:r>
                                <w:t xml:space="preserve">A spending bill extended this relief </w:t>
                              </w:r>
                              <w:r w:rsidR="00EF44B6">
                                <w:t>to</w:t>
                              </w:r>
                              <w:r>
                                <w:t xml:space="preserve"> </w:t>
                              </w:r>
                              <w:r w:rsidRPr="00DF4C6A" w:rsidR="00DF4C6A">
                                <w:t xml:space="preserve">telehealth services </w:t>
                              </w:r>
                              <w:r>
                                <w:t xml:space="preserve">provided </w:t>
                              </w:r>
                              <w:r w:rsidRPr="00DF4C6A" w:rsidR="00DF4C6A">
                                <w:t xml:space="preserve">from April 2022 through the end of </w:t>
                              </w:r>
                              <w:r>
                                <w:t>2022</w:t>
                              </w:r>
                              <w:r w:rsidRPr="00DF4C6A" w:rsidR="00DF4C6A">
                                <w:t>.</w:t>
                              </w:r>
                            </w:p>
                            <w:p w:rsidR="00033814" w:rsidP="00033814" w14:textId="68BEB5CC">
                              <w:pPr>
                                <w:pStyle w:val="SubHeader"/>
                              </w:pPr>
                              <w:r>
                                <w:t>2023 and 2024 Plan Years</w:t>
                              </w:r>
                            </w:p>
                            <w:p w:rsidR="00033814" w:rsidP="00033814" w14:textId="1D1C2E41">
                              <w:pPr>
                                <w:pStyle w:val="BodyText"/>
                              </w:pPr>
                              <w:r>
                                <w:t xml:space="preserve">The CAA extended this relief for plan years beginning after Dec. 31, </w:t>
                              </w:r>
                              <w:r w:rsidR="009A5FDF">
                                <w:t>2022,</w:t>
                              </w:r>
                              <w:r>
                                <w:t xml:space="preserve"> and before Jan. 1, 2025</w:t>
                              </w:r>
                              <w:r w:rsidRPr="00DF4C6A">
                                <w:t>.</w:t>
                              </w:r>
                            </w:p>
                            <w:p w:rsidR="00033814" w:rsidP="004D34B3" w14:textId="77777777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5" style="width:612pt;height:242.85pt;margin-top:196.8pt;margin-left:-35.4pt;mso-height-relative:margin;mso-position-vertical-relative:page;position:absolute;z-index:-251656192" coordsize="77724,30841">
                <v:group id="Group 15" o:spid="_x0000_s1026" style="width:77724;height:6376;position:absolute" coordsize="77724,637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style="width:77724;height:6352;mso-wrap-style:square;position:absolute;top:24;visibility:visible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width:22936;height:3428;left:53187;mso-wrap-style:square;position:absolute;v-text-anchor:middle;visibility:visible" filled="f" stroked="f">
                    <v:textbox>
                      <w:txbxContent>
                        <w:p w:rsidR="008864AB" w:rsidRPr="008864AB" w:rsidP="008864AB" w14:paraId="520F1131" w14:textId="77777777">
                          <w:pPr>
                            <w:pStyle w:val="Sub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Important Dates</w:t>
                          </w:r>
                        </w:p>
                      </w:txbxContent>
                    </v:textbox>
                  </v:shape>
                </v:group>
                <v:shape id="_x0000_s1029" type="#_x0000_t202" style="width:23013;height:27108;left:52882;mso-wrap-style:square;position:absolute;top:3733;v-text-anchor:top;visibility:visible" filled="f" stroked="f">
                  <v:textbox>
                    <w:txbxContent>
                      <w:p w:rsidR="0024208C" w:rsidRPr="0024208C" w:rsidP="0024208C" w14:paraId="3067059E" w14:textId="77777777">
                        <w:pPr>
                          <w:pStyle w:val="SubHeader"/>
                        </w:pPr>
                        <w:r>
                          <w:t>Jan. 1, 2022</w:t>
                        </w:r>
                      </w:p>
                      <w:p w:rsidR="0024208C" w:rsidRPr="00D2167C" w:rsidP="00AE5D8E" w14:paraId="7B4F4DD2" w14:textId="339CFF07">
                        <w:pPr>
                          <w:pStyle w:val="BodyText"/>
                          <w:spacing w:after="120"/>
                        </w:pPr>
                        <w:r>
                          <w:t>The CARES Act allow</w:t>
                        </w:r>
                        <w:r w:rsidR="00033814">
                          <w:t>ed</w:t>
                        </w:r>
                        <w:r>
                          <w:t xml:space="preserve"> pre-deductible coverage of telehealth services for plan years beginning </w:t>
                        </w:r>
                        <w:r w:rsidR="00033814">
                          <w:t>before Jan. 1, 2022</w:t>
                        </w:r>
                        <w:r>
                          <w:t>.</w:t>
                        </w:r>
                      </w:p>
                      <w:p w:rsidR="0024208C" w:rsidP="0024208C" w14:paraId="0783F07B" w14:textId="2F3AC19E">
                        <w:pPr>
                          <w:pStyle w:val="SubHeader"/>
                        </w:pPr>
                        <w:r>
                          <w:t>April 2022</w:t>
                        </w:r>
                        <w:r w:rsidR="009266E3">
                          <w:t>-</w:t>
                        </w:r>
                        <w:r>
                          <w:t>Dec</w:t>
                        </w:r>
                        <w:r w:rsidR="009266E3">
                          <w:t>ember</w:t>
                        </w:r>
                        <w:r>
                          <w:t xml:space="preserve"> 2022</w:t>
                        </w:r>
                      </w:p>
                      <w:p w:rsidR="0024208C" w:rsidP="00AE5D8E" w14:paraId="6BAD5D19" w14:textId="29711F29">
                        <w:pPr>
                          <w:pStyle w:val="BodyText"/>
                          <w:spacing w:after="120"/>
                        </w:pPr>
                        <w:r>
                          <w:t xml:space="preserve">A spending bill extended this relief </w:t>
                        </w:r>
                        <w:r w:rsidR="00EF44B6">
                          <w:t>to</w:t>
                        </w:r>
                        <w:r>
                          <w:t xml:space="preserve"> </w:t>
                        </w:r>
                        <w:r w:rsidRPr="00DF4C6A" w:rsidR="00DF4C6A">
                          <w:t xml:space="preserve">telehealth services </w:t>
                        </w:r>
                        <w:r>
                          <w:t xml:space="preserve">provided </w:t>
                        </w:r>
                        <w:r w:rsidRPr="00DF4C6A" w:rsidR="00DF4C6A">
                          <w:t xml:space="preserve">from April 2022 through the end of </w:t>
                        </w:r>
                        <w:r>
                          <w:t>2022</w:t>
                        </w:r>
                        <w:r w:rsidRPr="00DF4C6A" w:rsidR="00DF4C6A">
                          <w:t>.</w:t>
                        </w:r>
                      </w:p>
                      <w:p w:rsidR="00033814" w:rsidP="00033814" w14:paraId="1C30EF49" w14:textId="68BEB5CC">
                        <w:pPr>
                          <w:pStyle w:val="SubHeader"/>
                        </w:pPr>
                        <w:r>
                          <w:t>2023 and 2024 Plan Years</w:t>
                        </w:r>
                      </w:p>
                      <w:p w:rsidR="00033814" w:rsidP="00033814" w14:paraId="1C58915F" w14:textId="1D1C2E41">
                        <w:pPr>
                          <w:pStyle w:val="BodyText"/>
                        </w:pPr>
                        <w:r>
                          <w:t xml:space="preserve">The CAA extended this relief for plan years beginning after Dec. 31, </w:t>
                        </w:r>
                        <w:r w:rsidR="009A5FDF">
                          <w:t>2022,</w:t>
                        </w:r>
                        <w:r>
                          <w:t xml:space="preserve"> and before Jan. 1, 2025</w:t>
                        </w:r>
                        <w:r w:rsidRPr="00DF4C6A">
                          <w:t>.</w:t>
                        </w:r>
                      </w:p>
                      <w:p w:rsidR="00033814" w:rsidP="004D34B3" w14:paraId="0BE2F07F" w14:textId="77777777">
                        <w:pPr>
                          <w:pStyle w:val="BodyTex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B10D6">
        <w:t xml:space="preserve">Congress </w:t>
      </w:r>
      <w:r w:rsidR="001311A0">
        <w:t>Extends</w:t>
      </w:r>
      <w:r w:rsidR="00EF1C6B">
        <w:t xml:space="preserve"> </w:t>
      </w:r>
      <w:r w:rsidR="00A44FB7">
        <w:t xml:space="preserve">Pre-Deductible </w:t>
      </w:r>
      <w:r w:rsidR="001311A0">
        <w:t>Telehealth</w:t>
      </w:r>
      <w:r w:rsidR="006B10D6">
        <w:t xml:space="preserve"> </w:t>
      </w:r>
      <w:r w:rsidR="001D3BB7">
        <w:t xml:space="preserve">Coverage </w:t>
      </w:r>
      <w:r w:rsidR="001311A0">
        <w:t>for HDHPs</w:t>
      </w:r>
    </w:p>
    <w:p w:rsidR="001311A0" w:rsidP="002F7B23" w14:paraId="3950E169" w14:textId="6646CCF7">
      <w:pPr>
        <w:pStyle w:val="BodyText"/>
        <w:spacing w:after="120"/>
      </w:pPr>
      <w:r>
        <w:t xml:space="preserve">The </w:t>
      </w:r>
      <w:hyperlink r:id="rId6" w:history="1">
        <w:r w:rsidRPr="00E165F1">
          <w:rPr>
            <w:rStyle w:val="Hyperlink"/>
          </w:rPr>
          <w:t>Consolidated Appropriations Act, 2023</w:t>
        </w:r>
      </w:hyperlink>
      <w:r>
        <w:t xml:space="preserve"> (CAA), which was signed into law on Dec. 29, 2022</w:t>
      </w:r>
      <w:r>
        <w:t xml:space="preserve">, </w:t>
      </w:r>
      <w:r w:rsidRPr="00EF1C6B">
        <w:rPr>
          <w:bCs/>
        </w:rPr>
        <w:t xml:space="preserve">extends </w:t>
      </w:r>
      <w:r w:rsidRPr="00EF1C6B">
        <w:rPr>
          <w:bCs/>
        </w:rPr>
        <w:t>the ability of high</w:t>
      </w:r>
      <w:r w:rsidRPr="00EF1C6B" w:rsidR="001D3BB7">
        <w:rPr>
          <w:bCs/>
        </w:rPr>
        <w:t xml:space="preserve"> </w:t>
      </w:r>
      <w:r w:rsidRPr="00EF1C6B">
        <w:rPr>
          <w:bCs/>
        </w:rPr>
        <w:t xml:space="preserve">deductible health plans (HDHPs) </w:t>
      </w:r>
      <w:r w:rsidRPr="001311A0">
        <w:rPr>
          <w:b/>
        </w:rPr>
        <w:t>to provide benefits for telehealth or other remote care services before plan deductibles have been met</w:t>
      </w:r>
      <w:r w:rsidR="000134D5">
        <w:t xml:space="preserve"> </w:t>
      </w:r>
      <w:r w:rsidR="00515963">
        <w:t>without jeopardizing health savings account (HSA) eligibility</w:t>
      </w:r>
      <w:r w:rsidRPr="008A7E71" w:rsidR="008A7E71">
        <w:t>.</w:t>
      </w:r>
      <w:r w:rsidR="000134D5">
        <w:t xml:space="preserve"> </w:t>
      </w:r>
      <w:r w:rsidR="00515963">
        <w:t xml:space="preserve">This extension applies </w:t>
      </w:r>
      <w:r w:rsidR="001D3BB7">
        <w:t xml:space="preserve">for plan years beginning after Dec. 31, 2022, and before Jan. 1, 2025. </w:t>
      </w:r>
    </w:p>
    <w:p w:rsidR="008A7E71" w:rsidRPr="008A7E71" w:rsidP="0024208C" w14:paraId="6EE44C63" w14:textId="501096C1">
      <w:pPr>
        <w:pStyle w:val="SubHeader"/>
      </w:pPr>
      <w:r>
        <w:t>Background</w:t>
      </w:r>
    </w:p>
    <w:p w:rsidR="008A7E71" w:rsidRPr="008A7E71" w:rsidP="002F7B23" w14:paraId="47536A99" w14:textId="5533D34D">
      <w:pPr>
        <w:pStyle w:val="BodyText"/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5613400</wp:posOffset>
                </wp:positionV>
                <wp:extent cx="7771765" cy="2679700"/>
                <wp:effectExtent l="0" t="0" r="635" b="63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1765" cy="2679700"/>
                          <a:chOff x="0" y="0"/>
                          <a:chExt cx="7771765" cy="2680094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765" cy="62992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8760" y="68580"/>
                            <a:ext cx="2293620" cy="2611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C53" w:rsidRPr="00A47C53" w:rsidP="00CF5E21" w14:textId="40E08C40">
                              <w:pPr>
                                <w:pStyle w:val="CallOutBox"/>
                              </w:pPr>
                              <w:r w:rsidRPr="002962D1">
                                <w:t xml:space="preserve">HDHPs may waive the deductible for telehealth services without </w:t>
                              </w:r>
                              <w:r>
                                <w:t>jeopardizing</w:t>
                              </w:r>
                              <w:r w:rsidRPr="002962D1">
                                <w:t xml:space="preserve"> HSA eligibility</w:t>
                              </w:r>
                              <w:r w:rsidR="00033814">
                                <w:t xml:space="preserve"> for plan years beginning</w:t>
                              </w:r>
                              <w:r w:rsidR="00EF44B6">
                                <w:t xml:space="preserve"> in 2023 and 2024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30" style="width:611.95pt;height:211pt;margin-top:442pt;margin-left:0;mso-height-relative:margin;mso-position-horizontal-relative:page;mso-position-vertical-relative:page;position:absolute;z-index:-251654144" coordsize="77717,26800">
                <v:shape id="Picture 5" o:spid="_x0000_s1031" type="#_x0000_t75" style="width:77717;height:6299;mso-wrap-style:square;position:absolute;visibility:visible">
                  <v:imagedata r:id="rId7" o:title=""/>
                </v:shape>
                <v:shape id="_x0000_s1032" type="#_x0000_t202" style="width:22936;height:26115;left:53187;mso-wrap-style:square;position:absolute;top:685;v-text-anchor:middle;visibility:visible" filled="f" stroked="f">
                  <v:textbox>
                    <w:txbxContent>
                      <w:p w:rsidR="00A47C53" w:rsidRPr="00A47C53" w:rsidP="00CF5E21" w14:paraId="5451B81A" w14:textId="40E08C40">
                        <w:pPr>
                          <w:pStyle w:val="CallOutBox"/>
                        </w:pPr>
                        <w:r w:rsidRPr="002962D1">
                          <w:t xml:space="preserve">HDHPs may waive the deductible for telehealth services without </w:t>
                        </w:r>
                        <w:r>
                          <w:t>jeopardizing</w:t>
                        </w:r>
                        <w:r w:rsidRPr="002962D1">
                          <w:t xml:space="preserve"> HSA eligibility</w:t>
                        </w:r>
                        <w:r w:rsidR="00033814">
                          <w:t xml:space="preserve"> for plan years beginning</w:t>
                        </w:r>
                        <w:r w:rsidR="00EF44B6">
                          <w:t xml:space="preserve"> in 2023 and 2024</w:t>
                        </w:r>
                        <w: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4976">
        <w:t xml:space="preserve">To be eligible for HSA </w:t>
      </w:r>
      <w:r w:rsidRPr="000134D5" w:rsidR="000134D5">
        <w:t>contribution</w:t>
      </w:r>
      <w:r w:rsidR="00564976">
        <w:t xml:space="preserve">s, individuals </w:t>
      </w:r>
      <w:r w:rsidR="00371A70">
        <w:t>cannot be covered under a health plan that provides benefits</w:t>
      </w:r>
      <w:r w:rsidR="009266E3">
        <w:t>, except preventive care benefits,</w:t>
      </w:r>
      <w:r w:rsidR="00371A70">
        <w:t xml:space="preserve"> before the minimum HDHP deductible is satisfied for the year. </w:t>
      </w:r>
      <w:r w:rsidR="00EF1C6B">
        <w:t>As a general rule</w:t>
      </w:r>
      <w:r w:rsidR="00933E27">
        <w:t>, t</w:t>
      </w:r>
      <w:r w:rsidRPr="000134D5" w:rsidR="000134D5">
        <w:t>ele</w:t>
      </w:r>
      <w:r w:rsidR="00512256">
        <w:t>health</w:t>
      </w:r>
      <w:r w:rsidRPr="000134D5" w:rsidR="000134D5">
        <w:t xml:space="preserve"> programs that provide free or reduced-cost medical benefits before the HDHP deductible is satisfied are disqualifying coverage</w:t>
      </w:r>
      <w:r w:rsidR="000134D5">
        <w:t xml:space="preserve"> for purposes of HSA eligibility</w:t>
      </w:r>
      <w:r w:rsidRPr="000134D5" w:rsidR="000134D5">
        <w:t>.</w:t>
      </w:r>
      <w:r w:rsidR="00EF1C6B">
        <w:t xml:space="preserve"> </w:t>
      </w:r>
    </w:p>
    <w:p w:rsidR="00933E27" w:rsidP="002F7B23" w14:paraId="74188B89" w14:textId="28FD8A8B">
      <w:pPr>
        <w:pStyle w:val="BodyText"/>
        <w:spacing w:after="120"/>
      </w:pPr>
      <w:r>
        <w:t>However, e</w:t>
      </w:r>
      <w:r w:rsidR="00515963">
        <w:t xml:space="preserve">ffective Jan. 1, 2020, </w:t>
      </w:r>
      <w:r w:rsidR="00EF1C6B">
        <w:t xml:space="preserve">the </w:t>
      </w:r>
      <w:hyperlink r:id="rId8" w:history="1">
        <w:r w:rsidRPr="00B52F1B" w:rsidR="00EF1C6B">
          <w:rPr>
            <w:rStyle w:val="Hyperlink"/>
          </w:rPr>
          <w:t>CARES Act</w:t>
        </w:r>
      </w:hyperlink>
      <w:r w:rsidRPr="008A7E71" w:rsidR="00EF1C6B">
        <w:t xml:space="preserve"> </w:t>
      </w:r>
      <w:r w:rsidRPr="00515963" w:rsidR="00EF1C6B">
        <w:t xml:space="preserve">allowed HDHPs to provide benefits for telehealth or other remote care services before plan deductibles </w:t>
      </w:r>
      <w:r w:rsidR="00EF1C6B">
        <w:t>were</w:t>
      </w:r>
      <w:r w:rsidRPr="00515963" w:rsidR="00EF1C6B">
        <w:t xml:space="preserve"> met</w:t>
      </w:r>
      <w:r w:rsidRPr="00FB3448" w:rsidR="00EF1C6B">
        <w:t xml:space="preserve">. </w:t>
      </w:r>
      <w:r w:rsidR="00EF1C6B">
        <w:t xml:space="preserve">This relief applied </w:t>
      </w:r>
      <w:r w:rsidR="00515963">
        <w:t xml:space="preserve">for plan years beginning </w:t>
      </w:r>
      <w:r w:rsidR="00600359">
        <w:t>before</w:t>
      </w:r>
      <w:r w:rsidR="00515963">
        <w:t xml:space="preserve"> Jan. 1, 2022</w:t>
      </w:r>
      <w:r w:rsidR="00EF1C6B">
        <w:t>.</w:t>
      </w:r>
      <w:r w:rsidR="00515963">
        <w:t xml:space="preserve"> </w:t>
      </w:r>
      <w:r w:rsidR="006B2F91">
        <w:t xml:space="preserve">A </w:t>
      </w:r>
      <w:hyperlink r:id="rId9" w:history="1">
        <w:r w:rsidRPr="006B2F91" w:rsidR="006B2F91">
          <w:rPr>
            <w:rStyle w:val="Hyperlink"/>
          </w:rPr>
          <w:t>spending bill</w:t>
        </w:r>
      </w:hyperlink>
      <w:r w:rsidR="006B2F91">
        <w:t xml:space="preserve"> extended this relief to telehealth services provided </w:t>
      </w:r>
      <w:r w:rsidR="0056473E">
        <w:t>in months beginning after March 31, 2022, and before Jan. 1, 2023. T</w:t>
      </w:r>
      <w:r w:rsidR="006B2F91">
        <w:t xml:space="preserve">he CAA </w:t>
      </w:r>
      <w:r w:rsidR="00EF1C6B">
        <w:t xml:space="preserve">further </w:t>
      </w:r>
      <w:r w:rsidR="006B2F91">
        <w:t>extends this first-dollar coverage for telehealth services</w:t>
      </w:r>
      <w:r>
        <w:t xml:space="preserve"> to plan years beginning</w:t>
      </w:r>
      <w:r w:rsidR="002F7B23">
        <w:t xml:space="preserve"> after </w:t>
      </w:r>
      <w:r w:rsidR="0056473E">
        <w:t xml:space="preserve">Dec. 31, </w:t>
      </w:r>
      <w:r w:rsidR="009A5FDF">
        <w:t>2022,</w:t>
      </w:r>
      <w:r w:rsidR="002F7B23">
        <w:t xml:space="preserve"> and before </w:t>
      </w:r>
      <w:r w:rsidR="0056473E">
        <w:t>Jan</w:t>
      </w:r>
      <w:r>
        <w:t>. 1, 2025.</w:t>
      </w:r>
    </w:p>
    <w:p w:rsidR="00515963" w:rsidP="00515963" w14:paraId="74F5E86B" w14:textId="77777777">
      <w:pPr>
        <w:pStyle w:val="SubHeader"/>
      </w:pPr>
      <w:r>
        <w:t>Impact of the Extension</w:t>
      </w:r>
    </w:p>
    <w:p w:rsidR="00DF4C6A" w:rsidRPr="004967FA" w:rsidP="00515963" w14:paraId="3A677904" w14:textId="48F8121B">
      <w:pPr>
        <w:pStyle w:val="BodyText"/>
      </w:pPr>
      <w:r w:rsidRPr="000134D5">
        <w:t xml:space="preserve">HDHPs may choose to waive the deductible for </w:t>
      </w:r>
      <w:r>
        <w:t xml:space="preserve">any </w:t>
      </w:r>
      <w:r w:rsidRPr="000134D5">
        <w:t xml:space="preserve">telehealth services </w:t>
      </w:r>
      <w:r w:rsidR="006B2F91">
        <w:t xml:space="preserve">for plan years beginning </w:t>
      </w:r>
      <w:r w:rsidR="00EF44B6">
        <w:t xml:space="preserve">in 2023 and </w:t>
      </w:r>
      <w:r w:rsidR="00EF44B6">
        <w:t>2024</w:t>
      </w:r>
      <w:r w:rsidR="006B2F91">
        <w:t xml:space="preserve"> witho</w:t>
      </w:r>
      <w:r w:rsidRPr="000134D5">
        <w:t xml:space="preserve">ut </w:t>
      </w:r>
      <w:r w:rsidRPr="000134D5">
        <w:t>causing participants to lose HSA eligibility.</w:t>
      </w:r>
      <w:r>
        <w:t xml:space="preserve"> </w:t>
      </w:r>
      <w:r w:rsidR="002962D1">
        <w:t>This provision is optional; HDHPs can continue to choose to apply any telehealth services toward the deductible.</w:t>
      </w:r>
      <w:r w:rsidR="002962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-66040</wp:posOffset>
                </wp:positionH>
                <wp:positionV relativeFrom="margin">
                  <wp:posOffset>6213171</wp:posOffset>
                </wp:positionV>
                <wp:extent cx="4409440" cy="5384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944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7B15" w:rsidRPr="008864AB" w:rsidP="008F7B15" w14:textId="77777777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 w:rsidRPr="008864AB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Provided to you by </w:t>
                            </w:r>
                            <w:r w:rsidRPr="008864AB">
                              <w:rPr>
                                <w:b/>
                                <w:color w:val="5083C9"/>
                                <w:sz w:val="20"/>
                                <w:szCs w:val="20"/>
                              </w:rPr>
                              <w:t>Central PA Benefit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width:347.2pt;height:42.4pt;margin-top:489.23pt;margin-left:-5.2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top;z-index:251663360" filled="f" fillcolor="this" stroked="f" strokeweight="0.5pt">
                <v:textbox>
                  <w:txbxContent>
                    <w:p w:rsidR="008F7B15" w:rsidRPr="008864AB" w:rsidP="008F7B15" w14:paraId="3E4094EA" w14:textId="77777777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 w:rsidRPr="008864AB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Provided to you by </w:t>
                      </w:r>
                      <w:r w:rsidRPr="008864AB">
                        <w:rPr>
                          <w:b/>
                          <w:color w:val="5083C9"/>
                          <w:sz w:val="20"/>
                          <w:szCs w:val="20"/>
                        </w:rPr>
                        <w:t>Central PA Benefit Solutions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52F1B">
        <w:t xml:space="preserve"> </w:t>
      </w:r>
      <w:r w:rsidR="00DF4C6A">
        <w:t>Note that</w:t>
      </w:r>
      <w:r w:rsidR="00C42B9D">
        <w:t xml:space="preserve"> </w:t>
      </w:r>
      <w:r w:rsidR="009A5FDF">
        <w:t xml:space="preserve">there is </w:t>
      </w:r>
      <w:r w:rsidR="0056473E">
        <w:t xml:space="preserve">a </w:t>
      </w:r>
      <w:r w:rsidR="00B52F1B">
        <w:t>gap for non-calendar</w:t>
      </w:r>
      <w:r w:rsidR="009266E3">
        <w:t>-</w:t>
      </w:r>
      <w:r w:rsidR="00B52F1B">
        <w:t>year plans</w:t>
      </w:r>
      <w:r w:rsidR="009A5FDF">
        <w:t xml:space="preserve"> from Jan. 1, 2023 (when the spending bill’s extension expired) to the start of the 2023 plan year</w:t>
      </w:r>
      <w:r w:rsidR="009266E3">
        <w:t>,</w:t>
      </w:r>
      <w:r w:rsidR="00B52F1B">
        <w:t xml:space="preserve"> </w:t>
      </w:r>
      <w:r w:rsidR="009A5FDF">
        <w:t xml:space="preserve">during which this temporary relief for telehealth services does not apply. </w:t>
      </w:r>
      <w:r w:rsidR="00B52F1B">
        <w:t xml:space="preserve"> </w:t>
      </w:r>
    </w:p>
    <w:sectPr w:rsidSect="008A7E71">
      <w:headerReference w:type="default" r:id="rId10"/>
      <w:footerReference w:type="default" r:id="rId11"/>
      <w:pgSz w:w="12240" w:h="15840"/>
      <w:pgMar w:top="3946" w:right="46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 w14:paraId="1CB0ACC6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7620</wp:posOffset>
              </wp:positionH>
              <wp:positionV relativeFrom="margin">
                <wp:posOffset>6230316</wp:posOffset>
              </wp:positionV>
              <wp:extent cx="4366260" cy="0"/>
              <wp:effectExtent l="19050" t="19050" r="1524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 flipV="1">
                        <a:off x="0" y="0"/>
                        <a:ext cx="4366260" cy="0"/>
                      </a:xfrm>
                      <a:prstGeom prst="line">
                        <a:avLst/>
                      </a:prstGeom>
                      <a:ln w="44450">
                        <a:solidFill>
                          <a:schemeClr val="accent1">
                            <a:alpha val="75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2050" style="flip:x 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z-index:251662336" from="0.6pt,490.6pt" to="344.4pt,490.6pt" strokecolor="#4472c4" strokeweight="3.5pt">
              <v:stroke joinstyle="miter" opacity="49087f"/>
              <w10:wrap anchorx="margin" anchory="margin"/>
            </v:line>
          </w:pict>
        </mc:Fallback>
      </mc:AlternateContent>
    </w:r>
    <w:r w:rsidR="008864A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-53340</wp:posOffset>
              </wp:positionH>
              <wp:positionV relativeFrom="paragraph">
                <wp:posOffset>-294005</wp:posOffset>
              </wp:positionV>
              <wp:extent cx="4732020" cy="556260"/>
              <wp:effectExtent l="0" t="0" r="0" b="0"/>
              <wp:wrapNone/>
              <wp:docPr id="81" name="Text Box 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3202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96AD3" w:rsidRPr="00817EEE" w:rsidP="00796AD3" w14:textId="6D7FB5BA">
                          <w:pPr>
                            <w:pStyle w:val="Disclaimer"/>
                          </w:pPr>
                          <w:r w:rsidRPr="00947E11">
                            <w:rPr>
                              <w:szCs w:val="16"/>
                            </w:rPr>
                            <w:t xml:space="preserve">This </w:t>
                          </w:r>
                          <w:r>
                            <w:rPr>
                              <w:szCs w:val="16"/>
                            </w:rPr>
                            <w:t>Legal Update</w:t>
                          </w:r>
                          <w:r w:rsidRPr="00947E11">
                            <w:rPr>
                              <w:szCs w:val="16"/>
                            </w:rPr>
                            <w:t xml:space="preserve"> is not intended to be exhaustive nor should any discussion or </w:t>
                          </w:r>
                          <w:r w:rsidR="008864AB">
                            <w:rPr>
                              <w:szCs w:val="16"/>
                            </w:rPr>
                            <w:t>o</w:t>
                          </w:r>
                          <w:r w:rsidRPr="00947E11">
                            <w:rPr>
                              <w:szCs w:val="16"/>
                            </w:rPr>
                            <w:t xml:space="preserve">pinions be construed as legal advice. Readers should contact </w:t>
                          </w:r>
                          <w:r>
                            <w:rPr>
                              <w:szCs w:val="16"/>
                            </w:rPr>
                            <w:t xml:space="preserve">legal counsel for legal advice. </w:t>
                          </w:r>
                          <w:r w:rsidRPr="00817EEE">
                            <w:t>©</w:t>
                          </w:r>
                          <w:r w:rsidR="00503740">
                            <w:t>202</w:t>
                          </w:r>
                          <w:r w:rsidR="00B52F1B">
                            <w:t>3</w:t>
                          </w:r>
                          <w:r>
                            <w:t xml:space="preserve"> </w:t>
                          </w:r>
                          <w:r w:rsidRPr="00817EEE">
                            <w:t>Zywave, Inc.</w:t>
                          </w:r>
                          <w:r>
                            <w:t xml:space="preserve"> </w:t>
                          </w:r>
                          <w:r w:rsidRPr="00817EEE">
                            <w:t>All rights reserved.</w:t>
                          </w:r>
                        </w:p>
                        <w:p w:rsidR="00796AD3" w:rsidRPr="00947E11" w:rsidP="00796AD3" w14:textId="77777777">
                          <w:pPr>
                            <w:pStyle w:val="Disclaimer"/>
                            <w:rPr>
                              <w:szCs w:val="16"/>
                            </w:rPr>
                          </w:pPr>
                        </w:p>
                        <w:p w:rsidR="00796AD3" w:rsidRPr="00947E11" w:rsidP="00796AD3" w14:textId="77777777">
                          <w:pPr>
                            <w:pStyle w:val="Disclaimer"/>
                            <w:rPr>
                              <w:szCs w:val="16"/>
                            </w:rPr>
                          </w:pPr>
                        </w:p>
                        <w:p w:rsidR="008F7B15" w:rsidRPr="00947E11" w:rsidP="008F7B15" w14:textId="77777777">
                          <w:pPr>
                            <w:pStyle w:val="Disclaim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2051" type="#_x0000_t202" style="width:372.6pt;height:43.8pt;margin-top:-23.15pt;margin-left:-4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 strokeweight="0.5pt">
              <v:textbox>
                <w:txbxContent>
                  <w:p w:rsidR="00796AD3" w:rsidRPr="00817EEE" w:rsidP="00796AD3" w14:paraId="607A2842" w14:textId="6D7FB5BA">
                    <w:pPr>
                      <w:pStyle w:val="Disclaimer"/>
                    </w:pPr>
                    <w:r w:rsidRPr="00947E11">
                      <w:rPr>
                        <w:szCs w:val="16"/>
                      </w:rPr>
                      <w:t xml:space="preserve">This </w:t>
                    </w:r>
                    <w:r>
                      <w:rPr>
                        <w:szCs w:val="16"/>
                      </w:rPr>
                      <w:t>Legal Update</w:t>
                    </w:r>
                    <w:r w:rsidRPr="00947E11">
                      <w:rPr>
                        <w:szCs w:val="16"/>
                      </w:rPr>
                      <w:t xml:space="preserve"> is not intended to be exhaustive nor should any discussion or </w:t>
                    </w:r>
                    <w:r w:rsidR="008864AB">
                      <w:rPr>
                        <w:szCs w:val="16"/>
                      </w:rPr>
                      <w:t>o</w:t>
                    </w:r>
                    <w:r w:rsidRPr="00947E11">
                      <w:rPr>
                        <w:szCs w:val="16"/>
                      </w:rPr>
                      <w:t xml:space="preserve">pinions be construed as legal advice. Readers should contact </w:t>
                    </w:r>
                    <w:r>
                      <w:rPr>
                        <w:szCs w:val="16"/>
                      </w:rPr>
                      <w:t xml:space="preserve">legal counsel for legal advice. </w:t>
                    </w:r>
                    <w:r w:rsidRPr="00817EEE">
                      <w:t>©</w:t>
                    </w:r>
                    <w:r w:rsidR="00503740">
                      <w:t>202</w:t>
                    </w:r>
                    <w:r w:rsidR="00B52F1B">
                      <w:t>3</w:t>
                    </w:r>
                    <w:r>
                      <w:t xml:space="preserve"> </w:t>
                    </w:r>
                    <w:r w:rsidRPr="00817EEE">
                      <w:t>Zywave, Inc.</w:t>
                    </w:r>
                    <w:r>
                      <w:t xml:space="preserve"> </w:t>
                    </w:r>
                    <w:r w:rsidRPr="00817EEE">
                      <w:t>All rights reserved.</w:t>
                    </w:r>
                  </w:p>
                  <w:p w:rsidR="00796AD3" w:rsidRPr="00947E11" w:rsidP="00796AD3" w14:paraId="49675879" w14:textId="77777777">
                    <w:pPr>
                      <w:pStyle w:val="Disclaimer"/>
                      <w:rPr>
                        <w:szCs w:val="16"/>
                      </w:rPr>
                    </w:pPr>
                  </w:p>
                  <w:p w:rsidR="00796AD3" w:rsidRPr="00947E11" w:rsidP="00796AD3" w14:paraId="1CB9F466" w14:textId="77777777">
                    <w:pPr>
                      <w:pStyle w:val="Disclaimer"/>
                      <w:rPr>
                        <w:szCs w:val="16"/>
                      </w:rPr>
                    </w:pPr>
                  </w:p>
                  <w:p w:rsidR="008F7B15" w:rsidRPr="00947E11" w:rsidP="008F7B15" w14:paraId="24E1A9C0" w14:textId="77777777">
                    <w:pPr>
                      <w:pStyle w:val="Disclaimer"/>
                      <w:rPr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636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1492575</wp:posOffset>
          </wp:positionV>
          <wp:extent cx="7772400" cy="63093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gal_fol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 w14:paraId="77DEF88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-467360</wp:posOffset>
          </wp:positionV>
          <wp:extent cx="7772397" cy="3856498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gal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7" cy="3856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AF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ge">
                <wp:posOffset>2550160</wp:posOffset>
              </wp:positionV>
              <wp:extent cx="2413000" cy="32956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AF9" w:rsidRPr="00D35AF9" w:rsidP="00D35AF9" w14:paraId="269407EA" w14:textId="77777777">
                          <w:pPr>
                            <w:pStyle w:val="SubHead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Important Dates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90pt;height:25.95pt;margin-top:200.8pt;margin-left:5in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251660288" filled="f" stroked="f">
              <v:textbox>
                <w:txbxContent>
                  <w:p w:rsidR="00D35AF9" w:rsidRPr="00D35AF9" w:rsidP="00D35AF9">
                    <w:pPr>
                      <w:pStyle w:val="SubHead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Important Dates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E95063"/>
    <w:multiLevelType w:val="hybridMultilevel"/>
    <w:tmpl w:val="0CE2A7C2"/>
    <w:lvl w:ilvl="0">
      <w:start w:val="1"/>
      <w:numFmt w:val="bullet"/>
      <w:pStyle w:val="BulletList"/>
      <w:lvlText w:val=""/>
      <w:lvlJc w:val="left"/>
      <w:pPr>
        <w:ind w:left="54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70686"/>
    <w:multiLevelType w:val="hybridMultilevel"/>
    <w:tmpl w:val="409AC006"/>
    <w:lvl w:ilvl="0">
      <w:start w:val="1"/>
      <w:numFmt w:val="bullet"/>
      <w:pStyle w:val="Checkbox"/>
      <w:lvlText w:val=""/>
      <w:lvlJc w:val="left"/>
      <w:pPr>
        <w:ind w:left="540" w:hanging="360"/>
      </w:pPr>
      <w:rPr>
        <w:rFonts w:ascii="Wingdings" w:hAnsi="Wingdings" w:hint="default"/>
        <w:color w:val="5083C9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601A1"/>
    <w:multiLevelType w:val="hybridMultilevel"/>
    <w:tmpl w:val="43CE9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24744"/>
    <w:multiLevelType w:val="hybridMultilevel"/>
    <w:tmpl w:val="D67CDEAC"/>
    <w:lvl w:ilvl="0">
      <w:start w:val="1"/>
      <w:numFmt w:val="bullet"/>
      <w:pStyle w:val="Xbox"/>
      <w:lvlText w:val=""/>
      <w:lvlJc w:val="left"/>
      <w:pPr>
        <w:ind w:left="540" w:hanging="360"/>
      </w:pPr>
      <w:rPr>
        <w:rFonts w:ascii="Wingdings" w:hAnsi="Wingdings" w:hint="default"/>
        <w:color w:val="BD6363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E1D8C"/>
    <w:multiLevelType w:val="hybridMultilevel"/>
    <w:tmpl w:val="796CB146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93AD4"/>
    <w:multiLevelType w:val="multilevel"/>
    <w:tmpl w:val="B13CDD56"/>
    <w:numStyleLink w:val="BulletedList"/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A0"/>
    <w:rsid w:val="00001C17"/>
    <w:rsid w:val="000134D5"/>
    <w:rsid w:val="00033814"/>
    <w:rsid w:val="001050A8"/>
    <w:rsid w:val="0012162D"/>
    <w:rsid w:val="001311A0"/>
    <w:rsid w:val="001631A4"/>
    <w:rsid w:val="001725D9"/>
    <w:rsid w:val="001B1A7E"/>
    <w:rsid w:val="001D3BB7"/>
    <w:rsid w:val="0022430C"/>
    <w:rsid w:val="0024208C"/>
    <w:rsid w:val="0026000D"/>
    <w:rsid w:val="002962D1"/>
    <w:rsid w:val="002B61D1"/>
    <w:rsid w:val="002F786C"/>
    <w:rsid w:val="002F7B23"/>
    <w:rsid w:val="003267EB"/>
    <w:rsid w:val="00371A70"/>
    <w:rsid w:val="003A6B72"/>
    <w:rsid w:val="00432EFE"/>
    <w:rsid w:val="0048508B"/>
    <w:rsid w:val="00485C3A"/>
    <w:rsid w:val="004967FA"/>
    <w:rsid w:val="004B125C"/>
    <w:rsid w:val="004D34B3"/>
    <w:rsid w:val="00501995"/>
    <w:rsid w:val="00503740"/>
    <w:rsid w:val="0051031B"/>
    <w:rsid w:val="00512256"/>
    <w:rsid w:val="00515963"/>
    <w:rsid w:val="0056473E"/>
    <w:rsid w:val="00564976"/>
    <w:rsid w:val="00584B55"/>
    <w:rsid w:val="005D05D9"/>
    <w:rsid w:val="00600359"/>
    <w:rsid w:val="006A2A41"/>
    <w:rsid w:val="006B10D6"/>
    <w:rsid w:val="006B2F91"/>
    <w:rsid w:val="00707343"/>
    <w:rsid w:val="00770406"/>
    <w:rsid w:val="00796AD3"/>
    <w:rsid w:val="00802FF0"/>
    <w:rsid w:val="00817EEE"/>
    <w:rsid w:val="00855DD7"/>
    <w:rsid w:val="00856044"/>
    <w:rsid w:val="00871E9E"/>
    <w:rsid w:val="008864AB"/>
    <w:rsid w:val="008A7E71"/>
    <w:rsid w:val="008F7B15"/>
    <w:rsid w:val="0092440F"/>
    <w:rsid w:val="00926535"/>
    <w:rsid w:val="009266E3"/>
    <w:rsid w:val="00933E27"/>
    <w:rsid w:val="0094037F"/>
    <w:rsid w:val="009440BA"/>
    <w:rsid w:val="00947E11"/>
    <w:rsid w:val="0098636D"/>
    <w:rsid w:val="00993033"/>
    <w:rsid w:val="009A5FDF"/>
    <w:rsid w:val="009D4BB6"/>
    <w:rsid w:val="009E2B6A"/>
    <w:rsid w:val="009E4DC9"/>
    <w:rsid w:val="00A337BD"/>
    <w:rsid w:val="00A44FB7"/>
    <w:rsid w:val="00A47C53"/>
    <w:rsid w:val="00A65FD8"/>
    <w:rsid w:val="00AB3085"/>
    <w:rsid w:val="00AD0649"/>
    <w:rsid w:val="00AE5D8E"/>
    <w:rsid w:val="00B52F1B"/>
    <w:rsid w:val="00BA7D47"/>
    <w:rsid w:val="00BE45C1"/>
    <w:rsid w:val="00C42B9D"/>
    <w:rsid w:val="00C741AE"/>
    <w:rsid w:val="00CA6AD1"/>
    <w:rsid w:val="00CF5E21"/>
    <w:rsid w:val="00D2167C"/>
    <w:rsid w:val="00D35AF9"/>
    <w:rsid w:val="00D379D5"/>
    <w:rsid w:val="00D76FCB"/>
    <w:rsid w:val="00DC3880"/>
    <w:rsid w:val="00DD1268"/>
    <w:rsid w:val="00DF4C6A"/>
    <w:rsid w:val="00E165F1"/>
    <w:rsid w:val="00E16E6C"/>
    <w:rsid w:val="00E26E72"/>
    <w:rsid w:val="00E378E3"/>
    <w:rsid w:val="00E64D05"/>
    <w:rsid w:val="00E73236"/>
    <w:rsid w:val="00EC2053"/>
    <w:rsid w:val="00EF1C6B"/>
    <w:rsid w:val="00EF44B6"/>
    <w:rsid w:val="00F32D2D"/>
    <w:rsid w:val="00F32F5A"/>
    <w:rsid w:val="00FA6666"/>
    <w:rsid w:val="00FB3448"/>
  </w:rsids>
  <w:docVars>
    <w:docVar w:name="__Grammarly_42___1" w:val="H4sIAAAAAAAEAKtWcslP9kxRslIyNDY2NDcyMbAwNjUzM7Y0MDVU0lEKTi0uzszPAykwrAUA37amt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669E80"/>
  <w15:chartTrackingRefBased/>
  <w15:docId w15:val="{3A1CDFD9-F8D5-4459-930C-B5D80CF5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6D"/>
  </w:style>
  <w:style w:type="paragraph" w:styleId="Footer">
    <w:name w:val="footer"/>
    <w:basedOn w:val="Normal"/>
    <w:link w:val="Foot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6D"/>
  </w:style>
  <w:style w:type="paragraph" w:customStyle="1" w:styleId="MainTitle">
    <w:name w:val="Main Title"/>
    <w:basedOn w:val="Normal"/>
    <w:link w:val="MainTitleChar"/>
    <w:qFormat/>
    <w:rsid w:val="008A7E71"/>
    <w:pPr>
      <w:spacing w:after="120" w:line="228" w:lineRule="auto"/>
    </w:pPr>
    <w:rPr>
      <w:b/>
      <w:color w:val="5083C9"/>
      <w:sz w:val="48"/>
      <w:szCs w:val="48"/>
    </w:rPr>
  </w:style>
  <w:style w:type="paragraph" w:styleId="BodyText">
    <w:name w:val="Body Text"/>
    <w:basedOn w:val="BodyText2"/>
    <w:link w:val="BodyTextChar"/>
    <w:qFormat/>
    <w:rsid w:val="0024208C"/>
    <w:pPr>
      <w:spacing w:after="160" w:line="259" w:lineRule="auto"/>
      <w:jc w:val="both"/>
    </w:pPr>
    <w:rPr>
      <w:rFonts w:ascii="Calibri" w:eastAsia="Times New Roman" w:hAnsi="Calibri" w:cs="Arial"/>
      <w:color w:val="595959"/>
      <w:szCs w:val="20"/>
    </w:rPr>
  </w:style>
  <w:style w:type="character" w:customStyle="1" w:styleId="MainTitleChar">
    <w:name w:val="Main Title Char"/>
    <w:basedOn w:val="DefaultParagraphFont"/>
    <w:link w:val="MainTitle"/>
    <w:rsid w:val="008A7E71"/>
    <w:rPr>
      <w:b/>
      <w:color w:val="5083C9"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24208C"/>
    <w:rPr>
      <w:rFonts w:ascii="Calibri" w:eastAsia="Times New Roman" w:hAnsi="Calibri" w:cs="Arial"/>
      <w:color w:val="595959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7E71"/>
  </w:style>
  <w:style w:type="paragraph" w:customStyle="1" w:styleId="SubHeader">
    <w:name w:val="Sub Header"/>
    <w:basedOn w:val="BodyText"/>
    <w:link w:val="SubHeaderChar"/>
    <w:qFormat/>
    <w:rsid w:val="002B61D1"/>
    <w:pPr>
      <w:spacing w:after="0" w:line="216" w:lineRule="auto"/>
    </w:pPr>
    <w:rPr>
      <w:b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24208C"/>
    <w:pPr>
      <w:spacing w:after="60" w:line="192" w:lineRule="auto"/>
    </w:pPr>
    <w:rPr>
      <w:rFonts w:ascii="Calibri" w:eastAsia="Calibri" w:hAnsi="Calibri" w:cs="Times New Roman"/>
      <w:b/>
      <w:caps/>
      <w:color w:val="39945E"/>
      <w:sz w:val="40"/>
      <w:szCs w:val="40"/>
    </w:rPr>
  </w:style>
  <w:style w:type="character" w:customStyle="1" w:styleId="SubHeaderChar">
    <w:name w:val="Sub Header Char"/>
    <w:basedOn w:val="BodyTextChar"/>
    <w:link w:val="SubHeader"/>
    <w:rsid w:val="002B61D1"/>
    <w:rPr>
      <w:rFonts w:ascii="Calibri" w:eastAsia="Times New Roman" w:hAnsi="Calibri" w:cs="Arial"/>
      <w:b/>
      <w:color w:val="404040" w:themeColor="text1" w:themeTint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4208C"/>
    <w:rPr>
      <w:rFonts w:ascii="Calibri" w:eastAsia="Calibri" w:hAnsi="Calibri" w:cs="Times New Roman"/>
      <w:b/>
      <w:caps/>
      <w:color w:val="39945E"/>
      <w:sz w:val="40"/>
      <w:szCs w:val="40"/>
    </w:rPr>
  </w:style>
  <w:style w:type="paragraph" w:customStyle="1" w:styleId="Disclaimer">
    <w:name w:val="Disclaimer"/>
    <w:basedOn w:val="Normal"/>
    <w:link w:val="DisclaimerChar"/>
    <w:qFormat/>
    <w:rsid w:val="008F7B15"/>
    <w:rPr>
      <w:rFonts w:ascii="Verdana" w:eastAsia="Calibri" w:hAnsi="Verdana" w:cs="Times New Roman"/>
      <w:color w:val="7F7F7F"/>
      <w:sz w:val="16"/>
    </w:rPr>
  </w:style>
  <w:style w:type="character" w:customStyle="1" w:styleId="DisclaimerChar">
    <w:name w:val="Disclaimer Char"/>
    <w:link w:val="Disclaimer"/>
    <w:rsid w:val="008F7B15"/>
    <w:rPr>
      <w:rFonts w:ascii="Verdana" w:eastAsia="Calibri" w:hAnsi="Verdana" w:cs="Times New Roman"/>
      <w:color w:val="7F7F7F"/>
      <w:sz w:val="16"/>
    </w:rPr>
  </w:style>
  <w:style w:type="paragraph" w:customStyle="1" w:styleId="BulletList">
    <w:name w:val="Bullet List"/>
    <w:basedOn w:val="BodyText"/>
    <w:link w:val="BulletListChar"/>
    <w:rsid w:val="001725D9"/>
    <w:pPr>
      <w:numPr>
        <w:numId w:val="1"/>
      </w:numPr>
      <w:spacing w:after="20"/>
    </w:pPr>
  </w:style>
  <w:style w:type="paragraph" w:customStyle="1" w:styleId="Checkbox">
    <w:name w:val="Checkbox"/>
    <w:basedOn w:val="BulletList"/>
    <w:link w:val="CheckboxChar"/>
    <w:qFormat/>
    <w:rsid w:val="00E16E6C"/>
    <w:pPr>
      <w:numPr>
        <w:numId w:val="3"/>
      </w:numPr>
      <w:tabs>
        <w:tab w:val="left" w:pos="540"/>
      </w:tabs>
      <w:ind w:hanging="450"/>
    </w:pPr>
  </w:style>
  <w:style w:type="character" w:customStyle="1" w:styleId="BulletListChar">
    <w:name w:val="Bullet List Char"/>
    <w:basedOn w:val="BodyTextChar"/>
    <w:link w:val="BulletList"/>
    <w:rsid w:val="001725D9"/>
    <w:rPr>
      <w:rFonts w:ascii="Calibri" w:eastAsia="Times New Roman" w:hAnsi="Calibri" w:cs="Arial"/>
      <w:color w:val="595959"/>
      <w:szCs w:val="20"/>
    </w:rPr>
  </w:style>
  <w:style w:type="paragraph" w:customStyle="1" w:styleId="Xbox">
    <w:name w:val="Xbox"/>
    <w:basedOn w:val="Checkbox"/>
    <w:link w:val="XboxChar"/>
    <w:qFormat/>
    <w:rsid w:val="00E16E6C"/>
    <w:pPr>
      <w:numPr>
        <w:numId w:val="4"/>
      </w:numPr>
      <w:ind w:hanging="450"/>
    </w:pPr>
  </w:style>
  <w:style w:type="character" w:customStyle="1" w:styleId="CheckboxChar">
    <w:name w:val="Checkbox Char"/>
    <w:basedOn w:val="BulletListChar"/>
    <w:link w:val="Checkbox"/>
    <w:rsid w:val="00E16E6C"/>
    <w:rPr>
      <w:rFonts w:ascii="Calibri" w:eastAsia="Times New Roman" w:hAnsi="Calibri" w:cs="Arial"/>
      <w:color w:val="595959"/>
      <w:szCs w:val="20"/>
    </w:rPr>
  </w:style>
  <w:style w:type="paragraph" w:customStyle="1" w:styleId="CallOutBox">
    <w:name w:val="Call Out Box"/>
    <w:basedOn w:val="Footer"/>
    <w:link w:val="CallOutBoxChar"/>
    <w:qFormat/>
    <w:rsid w:val="00CF5E21"/>
    <w:pPr>
      <w:jc w:val="center"/>
    </w:pPr>
    <w:rPr>
      <w:b/>
      <w:i/>
      <w:color w:val="5083C9"/>
      <w:sz w:val="36"/>
      <w:szCs w:val="36"/>
    </w:rPr>
  </w:style>
  <w:style w:type="character" w:customStyle="1" w:styleId="XboxChar">
    <w:name w:val="Xbox Char"/>
    <w:basedOn w:val="CheckboxChar"/>
    <w:link w:val="Xbox"/>
    <w:rsid w:val="00E16E6C"/>
    <w:rPr>
      <w:rFonts w:ascii="Calibri" w:eastAsia="Times New Roman" w:hAnsi="Calibri" w:cs="Arial"/>
      <w:color w:val="595959"/>
      <w:szCs w:val="20"/>
    </w:rPr>
  </w:style>
  <w:style w:type="character" w:customStyle="1" w:styleId="CallOutBoxChar">
    <w:name w:val="Call Out Box Char"/>
    <w:basedOn w:val="FooterChar"/>
    <w:link w:val="CallOutBox"/>
    <w:rsid w:val="00CF5E21"/>
    <w:rPr>
      <w:b/>
      <w:i/>
      <w:color w:val="5083C9"/>
      <w:sz w:val="36"/>
      <w:szCs w:val="36"/>
    </w:rPr>
  </w:style>
  <w:style w:type="numbering" w:customStyle="1" w:styleId="BulletedList">
    <w:name w:val="Bulleted List"/>
    <w:uiPriority w:val="99"/>
    <w:rsid w:val="00DD1268"/>
    <w:pPr>
      <w:numPr>
        <w:numId w:val="5"/>
      </w:numPr>
    </w:pPr>
  </w:style>
  <w:style w:type="paragraph" w:customStyle="1" w:styleId="Bullet">
    <w:name w:val="Bullet"/>
    <w:basedOn w:val="BodyText"/>
    <w:link w:val="BulletChar"/>
    <w:qFormat/>
    <w:rsid w:val="00FA6666"/>
    <w:pPr>
      <w:numPr>
        <w:numId w:val="7"/>
      </w:numPr>
      <w:spacing w:after="0"/>
    </w:pPr>
  </w:style>
  <w:style w:type="character" w:customStyle="1" w:styleId="BulletChar">
    <w:name w:val="Bullet Char"/>
    <w:basedOn w:val="BodyTextChar"/>
    <w:link w:val="Bullet"/>
    <w:rsid w:val="00FA6666"/>
    <w:rPr>
      <w:rFonts w:ascii="Calibri" w:eastAsia="Times New Roman" w:hAnsi="Calibri" w:cs="Arial"/>
      <w:color w:val="595959"/>
      <w:szCs w:val="20"/>
    </w:rPr>
  </w:style>
  <w:style w:type="character" w:styleId="Hyperlink">
    <w:name w:val="Hyperlink"/>
    <w:basedOn w:val="DefaultParagraphFont"/>
    <w:uiPriority w:val="99"/>
    <w:unhideWhenUsed/>
    <w:rsid w:val="00131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9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66E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266E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6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www.congress.gov/bill/117th-congress/house-bill/2617/text" TargetMode="External" /><Relationship Id="rId7" Type="http://schemas.openxmlformats.org/officeDocument/2006/relationships/image" Target="media/image3.png" /><Relationship Id="rId8" Type="http://schemas.openxmlformats.org/officeDocument/2006/relationships/hyperlink" Target="https://www.congress.gov/bill/116th-congress/house-bill/748/text" TargetMode="External" /><Relationship Id="rId9" Type="http://schemas.openxmlformats.org/officeDocument/2006/relationships/hyperlink" Target="https://www.congress.gov/bill/117th-congress/house-bill/2471/text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I:\Content%20Development\MASTER%20TEMPLATES\Legal%20Content\2022%20Compliance%20Document%20Templates\Legal%20Update\EB_%20Legal%20Upda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0c095f-5d66-4273-a209-64796ae91974}" enabled="0" method="" siteId="{bd0c095f-5d66-4273-a209-64796ae919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EB_ Legal Update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Margerie</dc:creator>
  <cp:lastModifiedBy>Margerie, Erin</cp:lastModifiedBy>
  <cp:revision>2</cp:revision>
  <dcterms:created xsi:type="dcterms:W3CDTF">2023-01-03T19:12:00Z</dcterms:created>
  <dcterms:modified xsi:type="dcterms:W3CDTF">2023-01-03T19:12:00Z</dcterms:modified>
</cp:coreProperties>
</file>