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6000D" w:rsidRPr="008A7E71" w:rsidP="00014174" w14:paraId="6C4F7C0B" w14:textId="576061B8">
      <w:pPr>
        <w:pStyle w:val="MainTitle"/>
        <w:spacing w:line="216" w:lineRule="auto"/>
      </w:pPr>
      <w:r w:rsidR="00014174">
        <w:drawing>
          <wp:anchor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6223000</wp:posOffset>
            </wp:positionV>
            <wp:extent cx="1645923" cy="1120142"/>
            <wp:wrapNone/>
            <wp:docPr id="100031" name="" descr="Brok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-6350</wp:posOffset>
                </wp:positionV>
                <wp:extent cx="7772400" cy="3084195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2386" cy="3084195"/>
                          <a:chOff x="7" y="0"/>
                          <a:chExt cx="7772386" cy="3084195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7" y="0"/>
                            <a:ext cx="7772386" cy="637606"/>
                            <a:chOff x="7" y="0"/>
                            <a:chExt cx="7772386" cy="63760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" y="2473"/>
                              <a:ext cx="7772386" cy="63513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8760" y="0"/>
                              <a:ext cx="2293620" cy="3428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4AB" w:rsidRPr="008864AB" w:rsidP="008864AB" w14:textId="2BB10857">
                                <w:pPr>
                                  <w:pStyle w:val="SubHead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Key</w:t>
                                </w:r>
                                <w:r w:rsidRPr="008864AB">
                                  <w:rPr>
                                    <w:color w:val="FFFFFF" w:themeColor="background1"/>
                                  </w:rPr>
                                  <w:t xml:space="preserve"> Information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/>
                        </wps:wsp>
                      </wpg:grpSp>
                      <wps:wsp xmlns:wps="http://schemas.microsoft.com/office/word/2010/wordprocessingShape"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8280" y="373380"/>
                            <a:ext cx="2301240" cy="271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208C" w:rsidP="00091E13" w14:textId="4598F0D3">
                              <w:pPr>
                                <w:pStyle w:val="Bullet"/>
                                <w:spacing w:after="120"/>
                                <w:ind w:left="360"/>
                              </w:pPr>
                              <w:r>
                                <w:t xml:space="preserve">The ACA requires health plans to place annual limits on enrollees’ </w:t>
                              </w:r>
                              <w:r w:rsidR="00867C90">
                                <w:t xml:space="preserve">out-of-pocket </w:t>
                              </w:r>
                              <w:r>
                                <w:t>spending</w:t>
                              </w:r>
                              <w:r w:rsidR="00867C90">
                                <w:t xml:space="preserve"> for EHB. </w:t>
                              </w:r>
                              <w:r>
                                <w:t xml:space="preserve"> </w:t>
                              </w:r>
                            </w:p>
                            <w:p w:rsidR="00867C90" w:rsidP="00091E13" w14:textId="4B03AF3B">
                              <w:pPr>
                                <w:pStyle w:val="Bullet"/>
                                <w:spacing w:after="120"/>
                                <w:ind w:left="360"/>
                              </w:pPr>
                              <w:r>
                                <w:t xml:space="preserve">This ACA requirement applies to </w:t>
                              </w:r>
                              <w:r w:rsidR="00825FDD">
                                <w:t xml:space="preserve">all non-grandfathered health plans. </w:t>
                              </w:r>
                            </w:p>
                            <w:p w:rsidR="00091E13" w:rsidP="00091E13" w14:textId="78459F79">
                              <w:pPr>
                                <w:pStyle w:val="Bullet"/>
                                <w:spacing w:after="120"/>
                                <w:ind w:left="360"/>
                              </w:pPr>
                              <w:r>
                                <w:t>CMS annually adjusts the ACA’s</w:t>
                              </w:r>
                              <w:r w:rsidR="00A224BB">
                                <w:t xml:space="preserve"> cost-sharing limits</w:t>
                              </w:r>
                              <w:r>
                                <w:t xml:space="preserve"> for inflation. </w:t>
                              </w:r>
                            </w:p>
                            <w:p w:rsidR="00825FDD" w:rsidP="00867C90" w14:textId="2CB9D4D6">
                              <w:pPr>
                                <w:pStyle w:val="Bullet"/>
                                <w:ind w:left="360"/>
                              </w:pPr>
                              <w:r>
                                <w:t>CMS announced the cost-sharing limits for plan years beginning in 2024</w:t>
                              </w:r>
                              <w:r w:rsidR="00813DAC">
                                <w:t xml:space="preserve"> on Dec. 12, 2022.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5" style="width:612pt;height:243pt;margin-top:-0.5pt;margin-left:-35.4pt;mso-height-percent:0;mso-height-relative:margin;mso-wrap-distance-bottom:0;mso-wrap-distance-left:9pt;mso-wrap-distance-right:9pt;mso-wrap-distance-top:0;position:absolute;z-index:-251657216" coordorigin="0,0" coordsize="21600,21600">
                <v:group id="_x0000_s1026" style="width:21600;height:4465;left:0;position:absolute" coordorigin="0,0" coordsize="21600,216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width:21600;height:21516;left:0;position:absolute;top:84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width:6374;height:11615;left:14781;position:absolute;v-text-anchor:middle" filled="f" fillcolor="this" stroked="f" strokeweight="0.75pt">
                    <v:textbox>
                      <w:txbxContent>
                        <w:p w:rsidR="008864AB" w:rsidRPr="008864AB" w:rsidP="008864AB" w14:paraId="35F3F4B1" w14:textId="2BB10857">
                          <w:pPr>
                            <w:pStyle w:val="Sub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Key</w:t>
                          </w:r>
                          <w:r w:rsidRPr="008864AB">
                            <w:rPr>
                              <w:color w:val="FFFFFF" w:themeColor="background1"/>
                            </w:rPr>
                            <w:t xml:space="preserve"> Information</w:t>
                          </w:r>
                        </w:p>
                      </w:txbxContent>
                    </v:textbox>
                  </v:shape>
                </v:group>
                <v:shape id="_x0000_s1029" type="#_x0000_t202" style="width:6395;height:18985;left:14696;position:absolute;top:2615;v-text-anchor:top" filled="f" fillcolor="this" stroked="f" strokeweight="0.75pt">
                  <v:textbox>
                    <w:txbxContent>
                      <w:p w:rsidR="0024208C" w:rsidP="00091E13" w14:paraId="65019138" w14:textId="4598F0D3">
                        <w:pPr>
                          <w:pStyle w:val="Bullet"/>
                          <w:spacing w:after="120"/>
                          <w:ind w:left="360"/>
                        </w:pPr>
                        <w:r>
                          <w:t xml:space="preserve">The ACA requires health plans to place annual limits on enrollees’ </w:t>
                        </w:r>
                        <w:r w:rsidR="00867C90">
                          <w:t xml:space="preserve">out-of-pocket </w:t>
                        </w:r>
                        <w:r>
                          <w:t>spending</w:t>
                        </w:r>
                        <w:r w:rsidR="00867C90">
                          <w:t xml:space="preserve"> for EHB. </w:t>
                        </w:r>
                        <w:r>
                          <w:t xml:space="preserve"> </w:t>
                        </w:r>
                      </w:p>
                      <w:p w:rsidR="00867C90" w:rsidP="00091E13" w14:paraId="175BBB4E" w14:textId="4B03AF3B">
                        <w:pPr>
                          <w:pStyle w:val="Bullet"/>
                          <w:spacing w:after="120"/>
                          <w:ind w:left="360"/>
                        </w:pPr>
                        <w:r>
                          <w:t xml:space="preserve">This ACA requirement applies to </w:t>
                        </w:r>
                        <w:r w:rsidR="00825FDD">
                          <w:t xml:space="preserve">all non-grandfathered health plans. </w:t>
                        </w:r>
                      </w:p>
                      <w:p w:rsidR="00091E13" w:rsidP="00091E13" w14:paraId="4F9282B3" w14:textId="78459F79">
                        <w:pPr>
                          <w:pStyle w:val="Bullet"/>
                          <w:spacing w:after="120"/>
                          <w:ind w:left="360"/>
                        </w:pPr>
                        <w:r>
                          <w:t>CMS annually adjusts the ACA’s</w:t>
                        </w:r>
                        <w:r w:rsidR="00A224BB">
                          <w:t xml:space="preserve"> cost-sharing limits</w:t>
                        </w:r>
                        <w:r>
                          <w:t xml:space="preserve"> for inflation. </w:t>
                        </w:r>
                      </w:p>
                      <w:p w:rsidR="00825FDD" w:rsidP="00867C90" w14:paraId="67664EFC" w14:textId="2CB9D4D6">
                        <w:pPr>
                          <w:pStyle w:val="Bullet"/>
                          <w:ind w:left="360"/>
                        </w:pPr>
                        <w:r>
                          <w:t>CMS announced the cost-sharing limits for plan years beginning in 2024</w:t>
                        </w:r>
                        <w:r w:rsidR="00813DAC">
                          <w:t xml:space="preserve"> on Dec. 12, 2022.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4174">
        <w:t xml:space="preserve">CMS Releases </w:t>
      </w:r>
      <w:r w:rsidR="004641A8">
        <w:t>Cost</w:t>
      </w:r>
      <w:r w:rsidR="00863E5B">
        <w:t>-sharing</w:t>
      </w:r>
      <w:r w:rsidR="00014174">
        <w:t xml:space="preserve"> Limit</w:t>
      </w:r>
      <w:r w:rsidR="00530ADE">
        <w:t>s</w:t>
      </w:r>
      <w:r w:rsidR="00014174">
        <w:t xml:space="preserve"> for 2024 Plan Years</w:t>
      </w:r>
    </w:p>
    <w:p w:rsidR="0092321A" w:rsidP="00D40251" w14:paraId="61455B5C" w14:textId="761F1C46">
      <w:pPr>
        <w:pStyle w:val="BodyText"/>
        <w:spacing w:after="120"/>
      </w:pPr>
      <w:r>
        <w:t xml:space="preserve">On Dec. 12, 2022, the Centers for Medicare and Medicaid Services (CMS) </w:t>
      </w:r>
      <w:hyperlink r:id="rId6" w:history="1">
        <w:r w:rsidRPr="00EF3FFE" w:rsidR="00887A54">
          <w:rPr>
            <w:rStyle w:val="Hyperlink"/>
          </w:rPr>
          <w:t>released</w:t>
        </w:r>
      </w:hyperlink>
      <w:r w:rsidR="00887A54">
        <w:t xml:space="preserve"> the</w:t>
      </w:r>
      <w:r w:rsidR="00A457C6">
        <w:t xml:space="preserve"> maximum limits on cost sharing for 2024</w:t>
      </w:r>
      <w:r w:rsidR="005A42B5">
        <w:t xml:space="preserve"> under the Affordable Care Act (ACA)</w:t>
      </w:r>
      <w:r w:rsidR="00A457C6">
        <w:t>.</w:t>
      </w:r>
      <w:r w:rsidR="00F35504">
        <w:t xml:space="preserve"> </w:t>
      </w:r>
      <w:r w:rsidR="00283C98">
        <w:t>For 2024,</w:t>
      </w:r>
      <w:r>
        <w:t xml:space="preserve"> the</w:t>
      </w:r>
      <w:r w:rsidR="00283C98">
        <w:t xml:space="preserve"> maximum annual limitation on cost sharing is </w:t>
      </w:r>
      <w:r w:rsidRPr="0092321A" w:rsidR="00283C98">
        <w:rPr>
          <w:b/>
          <w:bCs/>
        </w:rPr>
        <w:t>$9,450 for self-only coverage</w:t>
      </w:r>
      <w:r w:rsidR="00283C98">
        <w:t xml:space="preserve"> and </w:t>
      </w:r>
      <w:r w:rsidRPr="0092321A" w:rsidR="00283C98">
        <w:rPr>
          <w:b/>
          <w:bCs/>
        </w:rPr>
        <w:t xml:space="preserve">$18,900 for </w:t>
      </w:r>
      <w:r w:rsidRPr="0092321A" w:rsidR="00B87585">
        <w:rPr>
          <w:b/>
          <w:bCs/>
        </w:rPr>
        <w:t>family coverage</w:t>
      </w:r>
      <w:r w:rsidR="00283C98">
        <w:t>. This represents an approximately 3.8</w:t>
      </w:r>
      <w:r w:rsidR="000550AA">
        <w:t xml:space="preserve">% </w:t>
      </w:r>
      <w:r w:rsidR="00283C98">
        <w:t xml:space="preserve">increase above the 2023 </w:t>
      </w:r>
      <w:r w:rsidR="000E511A">
        <w:t>limits</w:t>
      </w:r>
      <w:r w:rsidR="00283C98">
        <w:t xml:space="preserve"> of $9,100 for self-only coverage and $18,2</w:t>
      </w:r>
      <w:r>
        <w:t>00 for family</w:t>
      </w:r>
      <w:r w:rsidR="00283C98">
        <w:t xml:space="preserve"> coverage</w:t>
      </w:r>
      <w:r>
        <w:t xml:space="preserve">. </w:t>
      </w:r>
    </w:p>
    <w:p w:rsidR="006E6A56" w:rsidP="006E6A56" w14:paraId="163E0FAB" w14:textId="7F8AA613">
      <w:pPr>
        <w:pStyle w:val="SubHeader"/>
      </w:pPr>
      <w:r>
        <w:t>Out-of-Pocket Maximum</w:t>
      </w:r>
    </w:p>
    <w:p w:rsidR="00D2477C" w:rsidP="00D40251" w14:paraId="31DF8A9A" w14:textId="7026DBCC">
      <w:pPr>
        <w:pStyle w:val="BodyText"/>
        <w:spacing w:after="120"/>
      </w:pPr>
      <w:r>
        <w:t xml:space="preserve">The ACA </w:t>
      </w:r>
      <w:r w:rsidR="00ED1E78">
        <w:t xml:space="preserve">requires health plans to comply with </w:t>
      </w:r>
      <w:r w:rsidR="009A7284">
        <w:t xml:space="preserve">annual </w:t>
      </w:r>
      <w:r w:rsidR="00ED1E78">
        <w:t>limits</w:t>
      </w:r>
      <w:r w:rsidR="009A7284">
        <w:t xml:space="preserve"> on total enroll</w:t>
      </w:r>
      <w:r w:rsidR="00A70737">
        <w:t>ee</w:t>
      </w:r>
      <w:r w:rsidR="009A7284">
        <w:t xml:space="preserve"> </w:t>
      </w:r>
      <w:r w:rsidR="009A7284">
        <w:t>cost</w:t>
      </w:r>
      <w:r w:rsidR="00813DAC">
        <w:t xml:space="preserve"> </w:t>
      </w:r>
      <w:r w:rsidR="009A7284">
        <w:t xml:space="preserve">sharing </w:t>
      </w:r>
      <w:r w:rsidR="009A7284">
        <w:t>for essential health benefits</w:t>
      </w:r>
      <w:r w:rsidR="00264522">
        <w:t xml:space="preserve"> (EHB)</w:t>
      </w:r>
      <w:r w:rsidR="009A7284">
        <w:t xml:space="preserve">. </w:t>
      </w:r>
      <w:r w:rsidR="00AF643C">
        <w:t>These cost-sharing limits are commonly referred to as an out-of-pocket maximum. CMS</w:t>
      </w:r>
      <w:r w:rsidR="00B332AE">
        <w:t xml:space="preserve"> annually</w:t>
      </w:r>
      <w:r w:rsidR="00AF643C">
        <w:t xml:space="preserve"> adj</w:t>
      </w:r>
      <w:r w:rsidR="00C35AB1">
        <w:t>usts the</w:t>
      </w:r>
      <w:r w:rsidR="00A3571B">
        <w:t xml:space="preserve"> ACA’s out-of-pocket maximum</w:t>
      </w:r>
      <w:r w:rsidR="00C35AB1">
        <w:t xml:space="preserve"> for inflation </w:t>
      </w:r>
      <w:r w:rsidR="00854BBB">
        <w:t xml:space="preserve">and publishes the limits </w:t>
      </w:r>
      <w:r w:rsidR="00EC7C33">
        <w:t>by January of the year preceding the applicable benefit year.</w:t>
      </w:r>
      <w:r w:rsidR="00A70737">
        <w:t xml:space="preserve"> </w:t>
      </w:r>
      <w:r w:rsidR="0036760C">
        <w:t>The ACA’</w:t>
      </w:r>
      <w:r w:rsidR="00655873">
        <w:t>s cost-sharing limits</w:t>
      </w:r>
      <w:r w:rsidR="009E544E">
        <w:t xml:space="preserve"> appl</w:t>
      </w:r>
      <w:r w:rsidR="00655873">
        <w:t>y</w:t>
      </w:r>
      <w:r w:rsidR="00F72225">
        <w:t xml:space="preserve"> to all non-grandfathered health plans, including self-insured health plans and fully insured health plans of any si</w:t>
      </w:r>
      <w:r w:rsidR="009E544E">
        <w:t xml:space="preserve">ze. </w:t>
      </w:r>
    </w:p>
    <w:p w:rsidR="00E1120F" w:rsidP="00934121" w14:paraId="3CDAD437" w14:textId="13D576E1">
      <w:pPr>
        <w:pStyle w:val="BodyText"/>
        <w:spacing w:after="120"/>
      </w:pPr>
      <w:r>
        <w:t>A</w:t>
      </w:r>
      <w:r w:rsidR="000C152D">
        <w:t xml:space="preserve">ny </w:t>
      </w:r>
      <w:r>
        <w:t>out-of-pocket expenses</w:t>
      </w:r>
      <w:r w:rsidRPr="00264522" w:rsidR="00264522">
        <w:t xml:space="preserve"> required by or on behalf of an enrollee with respect to EHB</w:t>
      </w:r>
      <w:r>
        <w:t xml:space="preserve"> must</w:t>
      </w:r>
      <w:r w:rsidR="00EF4F7E">
        <w:t xml:space="preserve"> count toward the cost-sharing limit. This </w:t>
      </w:r>
      <w:r w:rsidR="00E261D5">
        <w:t xml:space="preserve">includes </w:t>
      </w:r>
      <w:r w:rsidRPr="00264522" w:rsidR="00E261D5">
        <w:t>deductibles</w:t>
      </w:r>
      <w:r w:rsidRPr="00264522" w:rsidR="00264522">
        <w:t xml:space="preserve">, copayments, </w:t>
      </w:r>
      <w:r w:rsidRPr="00264522" w:rsidR="00264522">
        <w:t>coinsurance</w:t>
      </w:r>
      <w:r w:rsidRPr="00264522" w:rsidR="00264522">
        <w:t xml:space="preserve"> and similar charges</w:t>
      </w:r>
      <w:r w:rsidR="00EF4F7E">
        <w:t xml:space="preserve"> but </w:t>
      </w:r>
      <w:r w:rsidRPr="00264522" w:rsidR="00264522">
        <w:t xml:space="preserve">excludes premiums and spending for noncovered services. </w:t>
      </w:r>
      <w:r w:rsidRPr="00264522" w:rsidR="00264522">
        <w:t xml:space="preserve">Also, plans </w:t>
      </w:r>
      <w:r w:rsidR="00B44A24">
        <w:t xml:space="preserve">that use </w:t>
      </w:r>
      <w:r w:rsidRPr="00264522" w:rsidR="00264522">
        <w:t>provider networks</w:t>
      </w:r>
      <w:r w:rsidR="00B44A24">
        <w:t xml:space="preserve"> are not required to count </w:t>
      </w:r>
      <w:r w:rsidRPr="00264522" w:rsidR="00264522">
        <w:t xml:space="preserve">an enrollee’s </w:t>
      </w:r>
      <w:r w:rsidR="00955804">
        <w:t>expenses</w:t>
      </w:r>
      <w:r w:rsidRPr="00264522" w:rsidR="00264522">
        <w:t xml:space="preserve"> for out-of-network benefits toward the </w:t>
      </w:r>
      <w:r w:rsidR="00955804">
        <w:t>cost-sharing limit</w:t>
      </w:r>
      <w:r w:rsidRPr="00264522" w:rsidR="00264522">
        <w:t>.</w:t>
      </w:r>
    </w:p>
    <w:p w:rsidR="008A7E71" w:rsidRPr="008A7E71" w:rsidP="0024208C" w14:paraId="5D7A3A20" w14:textId="68159D6F">
      <w:pPr>
        <w:pStyle w:val="SubHeader"/>
      </w:pPr>
      <w:r>
        <w:t>Limits for 2023 and 2024</w:t>
      </w:r>
    </w:p>
    <w:p w:rsidR="008A7E71" w:rsidRPr="004967FA" w:rsidP="004967FA" w14:paraId="78982D56" w14:textId="7F3E5BB8">
      <w:pPr>
        <w:pStyle w:val="BodyText"/>
      </w:pPr>
      <w:r>
        <w:t xml:space="preserve">For </w:t>
      </w:r>
      <w:r>
        <w:t>plan</w:t>
      </w:r>
      <w:r>
        <w:t xml:space="preserve"> years beginning in 2024, </w:t>
      </w:r>
      <w:r w:rsidR="00FD6768">
        <w:t xml:space="preserve">the out-of-pocket maximum </w:t>
      </w:r>
      <w:r w:rsidR="00C409AC">
        <w:t xml:space="preserve">is </w:t>
      </w:r>
      <w:r w:rsidR="00FD6768">
        <w:t>$9,</w:t>
      </w:r>
      <w:r w:rsidR="003934E1">
        <w:t>45</w:t>
      </w:r>
      <w:r w:rsidR="00FD6768">
        <w:t>0 for self-only coverage and $</w:t>
      </w:r>
      <w:r w:rsidR="003934E1">
        <w:t>18,</w:t>
      </w:r>
      <w:r w:rsidR="00F30ED0">
        <w:t>9</w:t>
      </w:r>
      <w:r w:rsidR="003934E1">
        <w:t>00 for family coverage. For plan years beginning in 2023, the limit</w:t>
      </w:r>
      <w:r w:rsidR="00D40251">
        <w:t>s</w:t>
      </w:r>
      <w:r w:rsidR="00C06910">
        <w:t xml:space="preserve"> are</w:t>
      </w:r>
      <w:r w:rsidR="003934E1">
        <w:t xml:space="preserve"> </w:t>
      </w:r>
      <w:r w:rsidR="00F30ED0">
        <w:t xml:space="preserve">$9,100 and $18,200, respectively. Employers should review the plan designs each year </w:t>
      </w:r>
      <w:r w:rsidR="00F30ED0">
        <w:t xml:space="preserve">to </w:t>
      </w:r>
      <w:r w:rsidR="0041615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5696712</wp:posOffset>
                </wp:positionV>
                <wp:extent cx="7771765" cy="2522855"/>
                <wp:effectExtent l="0" t="0" r="63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1765" cy="2522855"/>
                          <a:chOff x="3664" y="0"/>
                          <a:chExt cx="7764436" cy="252322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64" y="0"/>
                            <a:ext cx="7764436" cy="62991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8760" y="68580"/>
                            <a:ext cx="2293620" cy="245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C53" w:rsidRPr="00A47C53" w:rsidP="00CF5E21" w14:textId="661ABCA5">
                              <w:pPr>
                                <w:pStyle w:val="CallOutBox"/>
                              </w:pPr>
                              <w:r>
                                <w:t xml:space="preserve">For plan years beginning in 2024, the ACA’s </w:t>
                              </w:r>
                              <w:r w:rsidR="006013A9">
                                <w:t xml:space="preserve">cost-sharing limits for EHB are </w:t>
                              </w:r>
                              <w:r w:rsidRPr="006013A9" w:rsidR="006013A9">
                                <w:t>$9,450 for self-only coverage and $18,900 for family coverage</w:t>
                              </w:r>
                              <w:r w:rsidRPr="00A47C53"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width:611.95pt;height:198.65pt;margin-top:448.55pt;margin-left:-36pt;mso-position-vertical-relative:page;position:absolute;z-index:-251654144" coordorigin="36,0" coordsize="77644,25232">
                <v:shape id="Picture 5" o:spid="_x0000_s1031" type="#_x0000_t75" style="width:77645;height:6299;left:36;mso-wrap-style:square;position:absolute;visibility:visible">
                  <v:imagedata r:id="rId7" o:title=""/>
                </v:shape>
                <v:shape id="_x0000_s1032" type="#_x0000_t202" style="width:22936;height:24547;left:53187;mso-wrap-style:square;position:absolute;top:685;v-text-anchor:middle;visibility:visible" filled="f" stroked="f">
                  <v:textbox>
                    <w:txbxContent>
                      <w:p w:rsidR="00A47C53" w:rsidRPr="00A47C53" w:rsidP="00CF5E21" w14:paraId="43A53DEE" w14:textId="661ABCA5">
                        <w:pPr>
                          <w:pStyle w:val="CallOutBox"/>
                        </w:pPr>
                        <w:r>
                          <w:t xml:space="preserve">For plan years beginning in 2024, the ACA’s </w:t>
                        </w:r>
                        <w:r w:rsidR="006013A9">
                          <w:t xml:space="preserve">cost-sharing limits for EHB are </w:t>
                        </w:r>
                        <w:r w:rsidRPr="006013A9" w:rsidR="006013A9">
                          <w:t>$9,450 for self-only coverage and $18,900 for family coverage</w:t>
                        </w:r>
                        <w:r w:rsidRPr="00A47C53"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B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6074410</wp:posOffset>
                </wp:positionV>
                <wp:extent cx="4409440" cy="5384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944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7B15" w:rsidRPr="008864AB" w:rsidP="008F7B15" w14:textId="77777777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8864A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D26DCB">
                              <w:rPr>
                                <w:b/>
                                <w:color w:val="CE2C43"/>
                                <w:sz w:val="20"/>
                                <w:szCs w:val="20"/>
                              </w:rPr>
                              <w:t>Central PA Benefit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width:347.2pt;height:42.4pt;margin-top:478.3pt;margin-left:0;mso-height-percent:0;mso-height-relative:margin;mso-position-horizontal:right;mso-position-horizontal-relative:margin;mso-position-vertical-relative:margin;mso-width-percent:0;mso-width-relative:margin;mso-wrap-distance-bottom:0;mso-wrap-distance-left:9pt;mso-wrap-distance-right:9pt;mso-wrap-distance-top:0;position:absolute;v-text-anchor:top;z-index:251663360" filled="f" fillcolor="this" stroked="f" strokeweight="0.5pt">
                <v:textbox>
                  <w:txbxContent>
                    <w:p w:rsidR="008F7B15" w:rsidRPr="008864AB" w:rsidP="008F7B15" w14:paraId="4B054C71" w14:textId="77777777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8864A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D26DCB">
                        <w:rPr>
                          <w:b/>
                          <w:color w:val="CE2C43"/>
                          <w:sz w:val="20"/>
                          <w:szCs w:val="20"/>
                        </w:rPr>
                        <w:t>Central PA Benefit Solutions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0251">
        <w:t xml:space="preserve">ensure they </w:t>
      </w:r>
      <w:r w:rsidR="00D40251">
        <w:t xml:space="preserve">comply with the ACA’s </w:t>
      </w:r>
      <w:r w:rsidR="00405F28">
        <w:t xml:space="preserve">cost-sharing limits. </w:t>
      </w:r>
    </w:p>
    <w:sectPr w:rsidSect="008A7E71">
      <w:headerReference w:type="default" r:id="rId8"/>
      <w:footerReference w:type="default" r:id="rId9"/>
      <w:pgSz w:w="12240" w:h="15840"/>
      <w:pgMar w:top="3946" w:right="46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2E31C953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-53340</wp:posOffset>
              </wp:positionH>
              <wp:positionV relativeFrom="paragraph">
                <wp:posOffset>-294005</wp:posOffset>
              </wp:positionV>
              <wp:extent cx="4732020" cy="556260"/>
              <wp:effectExtent l="0" t="0" r="0" b="0"/>
              <wp:wrapNone/>
              <wp:docPr id="81" name="Text Box 8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3202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96AD3" w:rsidRPr="00817EEE" w:rsidP="00796AD3" w14:textId="77777777">
                          <w:pPr>
                            <w:pStyle w:val="Disclaimer"/>
                          </w:pPr>
                          <w:r w:rsidRPr="00947E11">
                            <w:rPr>
                              <w:szCs w:val="16"/>
                            </w:rPr>
                            <w:t xml:space="preserve">This </w:t>
                          </w:r>
                          <w:r>
                            <w:rPr>
                              <w:szCs w:val="16"/>
                            </w:rPr>
                            <w:t>Legal Update</w:t>
                          </w:r>
                          <w:r w:rsidRPr="00947E11">
                            <w:rPr>
                              <w:szCs w:val="16"/>
                            </w:rPr>
                            <w:t xml:space="preserve"> is not intended to be exhaustive nor should any discussion or </w:t>
                          </w:r>
                          <w:r w:rsidR="008864AB">
                            <w:rPr>
                              <w:szCs w:val="16"/>
                            </w:rPr>
                            <w:t>o</w:t>
                          </w:r>
                          <w:r w:rsidRPr="00947E11">
                            <w:rPr>
                              <w:szCs w:val="16"/>
                            </w:rPr>
                            <w:t xml:space="preserve">pinions be construed as legal advice. Readers should contact </w:t>
                          </w:r>
                          <w:r>
                            <w:rPr>
                              <w:szCs w:val="16"/>
                            </w:rPr>
                            <w:t xml:space="preserve">legal counsel for legal advice. </w:t>
                          </w:r>
                          <w:r w:rsidRPr="00817EEE">
                            <w:t>©</w:t>
                          </w:r>
                          <w:r w:rsidR="00724453">
                            <w:t>2022</w:t>
                          </w:r>
                          <w:r>
                            <w:t xml:space="preserve"> </w:t>
                          </w:r>
                          <w:r w:rsidRPr="00817EEE">
                            <w:t>Zywave, Inc.</w:t>
                          </w:r>
                          <w:r>
                            <w:t xml:space="preserve"> </w:t>
                          </w:r>
                          <w:r w:rsidRPr="00817EEE">
                            <w:t>All rights reserved.</w:t>
                          </w: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796AD3" w:rsidRPr="00947E11" w:rsidP="00796AD3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  <w:p w:rsidR="008F7B15" w:rsidRPr="00947E11" w:rsidP="008F7B15" w14:textId="77777777">
                          <w:pPr>
                            <w:pStyle w:val="Disclaimer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2050" type="#_x0000_t202" style="width:372.6pt;height:43.8pt;margin-top:-23.1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 strokeweight="0.5pt">
              <v:textbox>
                <w:txbxContent>
                  <w:p w:rsidR="00796AD3" w:rsidRPr="00817EEE" w:rsidP="00796AD3" w14:paraId="6A86687E" w14:textId="77777777">
                    <w:pPr>
                      <w:pStyle w:val="Disclaimer"/>
                    </w:pPr>
                    <w:r w:rsidRPr="00947E11">
                      <w:rPr>
                        <w:szCs w:val="16"/>
                      </w:rPr>
                      <w:t xml:space="preserve">This </w:t>
                    </w:r>
                    <w:r>
                      <w:rPr>
                        <w:szCs w:val="16"/>
                      </w:rPr>
                      <w:t>Legal Update</w:t>
                    </w:r>
                    <w:r w:rsidRPr="00947E11">
                      <w:rPr>
                        <w:szCs w:val="16"/>
                      </w:rPr>
                      <w:t xml:space="preserve"> is not intended to be exhaustive nor should any discussion or </w:t>
                    </w:r>
                    <w:r w:rsidR="008864AB">
                      <w:rPr>
                        <w:szCs w:val="16"/>
                      </w:rPr>
                      <w:t>o</w:t>
                    </w:r>
                    <w:r w:rsidRPr="00947E11">
                      <w:rPr>
                        <w:szCs w:val="16"/>
                      </w:rPr>
                      <w:t xml:space="preserve">pinions be construed as legal advice. Readers should contact </w:t>
                    </w:r>
                    <w:r>
                      <w:rPr>
                        <w:szCs w:val="16"/>
                      </w:rPr>
                      <w:t xml:space="preserve">legal counsel for legal advice. </w:t>
                    </w:r>
                    <w:r w:rsidRPr="00817EEE">
                      <w:t>©</w:t>
                    </w:r>
                    <w:r w:rsidR="00724453">
                      <w:t>2022</w:t>
                    </w:r>
                    <w:r>
                      <w:t xml:space="preserve"> </w:t>
                    </w:r>
                    <w:r w:rsidRPr="00817EEE">
                      <w:t>Zywave, Inc.</w:t>
                    </w:r>
                    <w:r>
                      <w:t xml:space="preserve"> </w:t>
                    </w:r>
                    <w:r w:rsidRPr="00817EEE">
                      <w:t>All rights reserved.</w:t>
                    </w:r>
                  </w:p>
                  <w:p w:rsidR="00796AD3" w:rsidRPr="00947E11" w:rsidP="00796AD3" w14:paraId="41639D9D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796AD3" w:rsidRPr="00947E11" w:rsidP="00796AD3" w14:paraId="25A262D5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  <w:p w:rsidR="008F7B15" w:rsidRPr="00947E11" w:rsidP="008F7B15" w14:paraId="61B65434" w14:textId="77777777">
                    <w:pPr>
                      <w:pStyle w:val="Disclaimer"/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5F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7620</wp:posOffset>
              </wp:positionH>
              <wp:positionV relativeFrom="margin">
                <wp:posOffset>6043930</wp:posOffset>
              </wp:positionV>
              <wp:extent cx="4366260" cy="0"/>
              <wp:effectExtent l="19050" t="1905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4366260" cy="0"/>
                      </a:xfrm>
                      <a:prstGeom prst="line">
                        <a:avLst/>
                      </a:prstGeom>
                      <a:ln w="44450">
                        <a:solidFill>
                          <a:srgbClr val="CE2C43">
                            <a:alpha val="75000"/>
                          </a:srgb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2051" style="flip:x y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z-index:251662336" from="0.6pt,475.9pt" to="344.4pt,475.9pt" strokecolor="#ce2c43" strokeweight="3.5pt">
              <v:stroke joinstyle="miter" opacity="49087f"/>
              <w10:wrap anchorx="margin" anchory="margin"/>
            </v:line>
          </w:pict>
        </mc:Fallback>
      </mc:AlternateContent>
    </w:r>
    <w:r w:rsidR="0098636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gal_fol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636D" w14:paraId="524F1707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-467360</wp:posOffset>
          </wp:positionV>
          <wp:extent cx="7772395" cy="3856496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gal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385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AF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ge">
                <wp:posOffset>2550160</wp:posOffset>
              </wp:positionV>
              <wp:extent cx="2413000" cy="32956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AF9" w:rsidRPr="00D35AF9" w:rsidP="00D35AF9" w14:textId="77777777">
                          <w:pPr>
                            <w:pStyle w:val="SubHead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Important Dates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90pt;height:25.95pt;margin-top:200.8pt;margin-left:5in;mso-height-percent:0;mso-height-relative:margin;mso-position-vertical-relative:page;mso-width-percent:0;mso-width-relative:margin;mso-wrap-distance-bottom:3.6pt;mso-wrap-distance-left:9pt;mso-wrap-distance-right:9pt;mso-wrap-distance-top:3.6pt;mso-wrap-style:square;position:absolute;v-text-anchor:top;visibility:visible;z-index:251660288" filled="f" stroked="f">
              <v:textbox>
                <w:txbxContent>
                  <w:p w:rsidR="00D35AF9" w:rsidRPr="00D35AF9" w:rsidP="00D35AF9" w14:paraId="6B75F9AA" w14:textId="77777777">
                    <w:pPr>
                      <w:pStyle w:val="SubHead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Important Dates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27EBD"/>
    <w:multiLevelType w:val="hybridMultilevel"/>
    <w:tmpl w:val="CF28D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063"/>
    <w:multiLevelType w:val="hybridMultilevel"/>
    <w:tmpl w:val="F0601D0C"/>
    <w:lvl w:ilvl="0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CE2C4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0686"/>
    <w:multiLevelType w:val="hybridMultilevel"/>
    <w:tmpl w:val="409AC006"/>
    <w:lvl w:ilvl="0">
      <w:start w:val="1"/>
      <w:numFmt w:val="bullet"/>
      <w:pStyle w:val="Checkbox"/>
      <w:lvlText w:val=""/>
      <w:lvlJc w:val="left"/>
      <w:pPr>
        <w:ind w:left="540" w:hanging="360"/>
      </w:pPr>
      <w:rPr>
        <w:rFonts w:ascii="Wingdings" w:hAnsi="Wingdings" w:hint="default"/>
        <w:color w:val="5083C9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949D5"/>
    <w:multiLevelType w:val="multilevel"/>
    <w:tmpl w:val="B13CDD56"/>
    <w:numStyleLink w:val="BulletedList"/>
  </w:abstractNum>
  <w:abstractNum w:abstractNumId="4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E2C4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19BC"/>
    <w:multiLevelType w:val="hybridMultilevel"/>
    <w:tmpl w:val="EE4CA336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CE2C4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601A1"/>
    <w:multiLevelType w:val="hybridMultilevel"/>
    <w:tmpl w:val="43CE9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744"/>
    <w:multiLevelType w:val="hybridMultilevel"/>
    <w:tmpl w:val="D67CDEAC"/>
    <w:lvl w:ilvl="0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A"/>
    <w:rsid w:val="00014174"/>
    <w:rsid w:val="000550AA"/>
    <w:rsid w:val="00091E13"/>
    <w:rsid w:val="000A2A4D"/>
    <w:rsid w:val="000C152D"/>
    <w:rsid w:val="000E511A"/>
    <w:rsid w:val="0010494C"/>
    <w:rsid w:val="001050A8"/>
    <w:rsid w:val="0012162D"/>
    <w:rsid w:val="001631A4"/>
    <w:rsid w:val="001725D9"/>
    <w:rsid w:val="001B1A7E"/>
    <w:rsid w:val="0024208C"/>
    <w:rsid w:val="00243194"/>
    <w:rsid w:val="00246124"/>
    <w:rsid w:val="0026000D"/>
    <w:rsid w:val="00264522"/>
    <w:rsid w:val="002702C9"/>
    <w:rsid w:val="002722FF"/>
    <w:rsid w:val="00283C98"/>
    <w:rsid w:val="0028463C"/>
    <w:rsid w:val="002B61D1"/>
    <w:rsid w:val="002E3566"/>
    <w:rsid w:val="002F763B"/>
    <w:rsid w:val="002F786C"/>
    <w:rsid w:val="003267EB"/>
    <w:rsid w:val="0036117A"/>
    <w:rsid w:val="0036760C"/>
    <w:rsid w:val="003934E1"/>
    <w:rsid w:val="003A6B72"/>
    <w:rsid w:val="003B3561"/>
    <w:rsid w:val="003B5954"/>
    <w:rsid w:val="003B5CB8"/>
    <w:rsid w:val="003C01F7"/>
    <w:rsid w:val="00405F28"/>
    <w:rsid w:val="0041615C"/>
    <w:rsid w:val="004641A8"/>
    <w:rsid w:val="0048508B"/>
    <w:rsid w:val="00485C3A"/>
    <w:rsid w:val="004967FA"/>
    <w:rsid w:val="004B125C"/>
    <w:rsid w:val="004D34B3"/>
    <w:rsid w:val="005137E3"/>
    <w:rsid w:val="00530ADE"/>
    <w:rsid w:val="00565B59"/>
    <w:rsid w:val="00584B55"/>
    <w:rsid w:val="005905B6"/>
    <w:rsid w:val="005A42B5"/>
    <w:rsid w:val="005D05D9"/>
    <w:rsid w:val="006013A9"/>
    <w:rsid w:val="006203C7"/>
    <w:rsid w:val="00655873"/>
    <w:rsid w:val="0066265A"/>
    <w:rsid w:val="006822E8"/>
    <w:rsid w:val="006A2A41"/>
    <w:rsid w:val="006E6A56"/>
    <w:rsid w:val="00707343"/>
    <w:rsid w:val="00724453"/>
    <w:rsid w:val="00770406"/>
    <w:rsid w:val="00796AD3"/>
    <w:rsid w:val="00802FF0"/>
    <w:rsid w:val="00813DAC"/>
    <w:rsid w:val="00817EEE"/>
    <w:rsid w:val="00825FDD"/>
    <w:rsid w:val="00854BBB"/>
    <w:rsid w:val="00855DD7"/>
    <w:rsid w:val="00856044"/>
    <w:rsid w:val="00863E5B"/>
    <w:rsid w:val="00867C90"/>
    <w:rsid w:val="00871E9E"/>
    <w:rsid w:val="008864AB"/>
    <w:rsid w:val="00887A54"/>
    <w:rsid w:val="00897804"/>
    <w:rsid w:val="008A7E71"/>
    <w:rsid w:val="008B1A4D"/>
    <w:rsid w:val="008F2DBA"/>
    <w:rsid w:val="008F7B15"/>
    <w:rsid w:val="0092321A"/>
    <w:rsid w:val="00926535"/>
    <w:rsid w:val="00934121"/>
    <w:rsid w:val="009440BA"/>
    <w:rsid w:val="00947E11"/>
    <w:rsid w:val="00955804"/>
    <w:rsid w:val="0098636D"/>
    <w:rsid w:val="00991427"/>
    <w:rsid w:val="00993033"/>
    <w:rsid w:val="009A1D61"/>
    <w:rsid w:val="009A7284"/>
    <w:rsid w:val="009D4BB6"/>
    <w:rsid w:val="009E2B6A"/>
    <w:rsid w:val="009E4DC9"/>
    <w:rsid w:val="009E544E"/>
    <w:rsid w:val="009F464E"/>
    <w:rsid w:val="00A224BB"/>
    <w:rsid w:val="00A337BD"/>
    <w:rsid w:val="00A3571B"/>
    <w:rsid w:val="00A457C6"/>
    <w:rsid w:val="00A47C53"/>
    <w:rsid w:val="00A65FD8"/>
    <w:rsid w:val="00A70737"/>
    <w:rsid w:val="00A85321"/>
    <w:rsid w:val="00AB7E8D"/>
    <w:rsid w:val="00AC67AC"/>
    <w:rsid w:val="00AD0649"/>
    <w:rsid w:val="00AF643C"/>
    <w:rsid w:val="00B22B58"/>
    <w:rsid w:val="00B332AE"/>
    <w:rsid w:val="00B44A24"/>
    <w:rsid w:val="00B77454"/>
    <w:rsid w:val="00B87585"/>
    <w:rsid w:val="00BA7D47"/>
    <w:rsid w:val="00BE45C1"/>
    <w:rsid w:val="00C06910"/>
    <w:rsid w:val="00C35AB1"/>
    <w:rsid w:val="00C409AC"/>
    <w:rsid w:val="00C741AE"/>
    <w:rsid w:val="00C94E12"/>
    <w:rsid w:val="00CA4E58"/>
    <w:rsid w:val="00CB623A"/>
    <w:rsid w:val="00CE7CCB"/>
    <w:rsid w:val="00CF5E21"/>
    <w:rsid w:val="00D2477C"/>
    <w:rsid w:val="00D26DCB"/>
    <w:rsid w:val="00D35AF9"/>
    <w:rsid w:val="00D379D5"/>
    <w:rsid w:val="00D40251"/>
    <w:rsid w:val="00D76FCB"/>
    <w:rsid w:val="00DB5378"/>
    <w:rsid w:val="00DC3880"/>
    <w:rsid w:val="00E1120F"/>
    <w:rsid w:val="00E16E6C"/>
    <w:rsid w:val="00E261D5"/>
    <w:rsid w:val="00E378E3"/>
    <w:rsid w:val="00E73236"/>
    <w:rsid w:val="00EC2053"/>
    <w:rsid w:val="00EC7C33"/>
    <w:rsid w:val="00ED1E78"/>
    <w:rsid w:val="00EF3FFE"/>
    <w:rsid w:val="00EF4F7E"/>
    <w:rsid w:val="00F30ED0"/>
    <w:rsid w:val="00F32D2D"/>
    <w:rsid w:val="00F32F5A"/>
    <w:rsid w:val="00F35504"/>
    <w:rsid w:val="00F72225"/>
    <w:rsid w:val="00F927D8"/>
    <w:rsid w:val="00FD6768"/>
  </w:rsids>
  <w:docVars>
    <w:docVar w:name="__Grammarly_42___1" w:val="H4sIAAAAAAAEAKtWcslP9kxRslIyNDY2NDM0NjQyMLewMDUyMzdV0lEKTi0uzszPAykwrAUAG15w4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2BE82D"/>
  <w15:chartTrackingRefBased/>
  <w15:docId w15:val="{89B5921B-2329-489E-9A93-CE4F798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6D"/>
  </w:style>
  <w:style w:type="paragraph" w:customStyle="1" w:styleId="MainTitle">
    <w:name w:val="Main Title"/>
    <w:basedOn w:val="Normal"/>
    <w:link w:val="MainTitleChar"/>
    <w:qFormat/>
    <w:rsid w:val="000A2A4D"/>
    <w:pPr>
      <w:spacing w:after="120" w:line="228" w:lineRule="auto"/>
    </w:pPr>
    <w:rPr>
      <w:b/>
      <w:color w:val="CE2C43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eastAsia="Times New Roman" w:hAnsi="Calibri" w:cs="Arial"/>
      <w:color w:val="595959"/>
      <w:szCs w:val="20"/>
    </w:rPr>
  </w:style>
  <w:style w:type="character" w:customStyle="1" w:styleId="MainTitleChar">
    <w:name w:val="Main Title Char"/>
    <w:basedOn w:val="DefaultParagraphFont"/>
    <w:link w:val="MainTitle"/>
    <w:rsid w:val="000A2A4D"/>
    <w:rPr>
      <w:b/>
      <w:color w:val="CE2C43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24208C"/>
    <w:rPr>
      <w:rFonts w:ascii="Calibri" w:eastAsia="Times New Roman" w:hAnsi="Calibri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7E71"/>
  </w:style>
  <w:style w:type="paragraph" w:customStyle="1" w:styleId="SubHeader">
    <w:name w:val="Sub Header"/>
    <w:basedOn w:val="BodyText"/>
    <w:link w:val="SubHeaderChar"/>
    <w:qFormat/>
    <w:rsid w:val="002B61D1"/>
    <w:pPr>
      <w:spacing w:after="0" w:line="216" w:lineRule="auto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eastAsia="Calibri" w:hAnsi="Calibri" w:cs="Times New Roman"/>
      <w:b/>
      <w:caps/>
      <w:color w:val="39945E"/>
      <w:sz w:val="40"/>
      <w:szCs w:val="40"/>
    </w:rPr>
  </w:style>
  <w:style w:type="character" w:customStyle="1" w:styleId="SubHeaderChar">
    <w:name w:val="Sub Header Char"/>
    <w:basedOn w:val="BodyTextChar"/>
    <w:link w:val="SubHeader"/>
    <w:rsid w:val="002B61D1"/>
    <w:rPr>
      <w:rFonts w:ascii="Calibri" w:eastAsia="Times New Roman" w:hAnsi="Calibri" w:cs="Arial"/>
      <w:b/>
      <w:color w:val="404040" w:themeColor="text1" w:themeTint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4208C"/>
    <w:rPr>
      <w:rFonts w:ascii="Calibri" w:eastAsia="Calibri" w:hAnsi="Calibri" w:cs="Times New Roman"/>
      <w:b/>
      <w:caps/>
      <w:color w:val="39945E"/>
      <w:sz w:val="40"/>
      <w:szCs w:val="40"/>
    </w:rPr>
  </w:style>
  <w:style w:type="paragraph" w:customStyle="1" w:styleId="Disclaimer">
    <w:name w:val="Disclaimer"/>
    <w:basedOn w:val="Normal"/>
    <w:link w:val="DisclaimerChar"/>
    <w:qFormat/>
    <w:rsid w:val="008F7B15"/>
    <w:rPr>
      <w:rFonts w:ascii="Verdana" w:eastAsia="Calibri" w:hAnsi="Verdana" w:cs="Times New Roman"/>
      <w:color w:val="7F7F7F"/>
      <w:sz w:val="16"/>
    </w:rPr>
  </w:style>
  <w:style w:type="character" w:customStyle="1" w:styleId="DisclaimerChar">
    <w:name w:val="Disclaimer Char"/>
    <w:link w:val="Disclaimer"/>
    <w:rsid w:val="008F7B15"/>
    <w:rPr>
      <w:rFonts w:ascii="Verdana" w:eastAsia="Calibri" w:hAnsi="Verdana" w:cs="Times New Roman"/>
      <w:color w:val="7F7F7F"/>
      <w:sz w:val="16"/>
    </w:rPr>
  </w:style>
  <w:style w:type="paragraph" w:customStyle="1" w:styleId="BulletList">
    <w:name w:val="Bullet List"/>
    <w:basedOn w:val="BodyText"/>
    <w:link w:val="BulletListChar"/>
    <w:rsid w:val="0028463C"/>
    <w:pPr>
      <w:numPr>
        <w:numId w:val="1"/>
      </w:numPr>
      <w:spacing w:after="20"/>
    </w:pPr>
  </w:style>
  <w:style w:type="paragraph" w:customStyle="1" w:styleId="Checkbox">
    <w:name w:val="Checkbox"/>
    <w:basedOn w:val="BulletList"/>
    <w:link w:val="CheckboxChar"/>
    <w:qFormat/>
    <w:rsid w:val="00E16E6C"/>
    <w:pPr>
      <w:numPr>
        <w:numId w:val="3"/>
      </w:numPr>
      <w:tabs>
        <w:tab w:val="left" w:pos="540"/>
      </w:tabs>
      <w:ind w:hanging="450"/>
    </w:pPr>
  </w:style>
  <w:style w:type="character" w:customStyle="1" w:styleId="BulletListChar">
    <w:name w:val="Bullet List Char"/>
    <w:basedOn w:val="BodyTextChar"/>
    <w:link w:val="BulletList"/>
    <w:rsid w:val="001725D9"/>
    <w:rPr>
      <w:rFonts w:ascii="Calibri" w:eastAsia="Times New Roman" w:hAnsi="Calibri" w:cs="Arial"/>
      <w:color w:val="595959"/>
      <w:szCs w:val="20"/>
    </w:rPr>
  </w:style>
  <w:style w:type="paragraph" w:customStyle="1" w:styleId="Xbox">
    <w:name w:val="Xbox"/>
    <w:basedOn w:val="Checkbox"/>
    <w:link w:val="XboxChar"/>
    <w:qFormat/>
    <w:rsid w:val="00E16E6C"/>
    <w:pPr>
      <w:numPr>
        <w:numId w:val="4"/>
      </w:numPr>
      <w:ind w:hanging="450"/>
    </w:pPr>
  </w:style>
  <w:style w:type="character" w:customStyle="1" w:styleId="CheckboxChar">
    <w:name w:val="Checkbox Char"/>
    <w:basedOn w:val="BulletListChar"/>
    <w:link w:val="Checkbox"/>
    <w:rsid w:val="00E16E6C"/>
    <w:rPr>
      <w:rFonts w:ascii="Calibri" w:eastAsia="Times New Roman" w:hAnsi="Calibri" w:cs="Arial"/>
      <w:color w:val="595959"/>
      <w:szCs w:val="20"/>
    </w:rPr>
  </w:style>
  <w:style w:type="paragraph" w:customStyle="1" w:styleId="CallOutBox">
    <w:name w:val="Call Out Box"/>
    <w:basedOn w:val="Footer"/>
    <w:link w:val="CallOutBoxChar"/>
    <w:qFormat/>
    <w:rsid w:val="0028463C"/>
    <w:pPr>
      <w:jc w:val="center"/>
    </w:pPr>
    <w:rPr>
      <w:b/>
      <w:i/>
      <w:color w:val="CE2C43"/>
      <w:sz w:val="36"/>
      <w:szCs w:val="36"/>
    </w:rPr>
  </w:style>
  <w:style w:type="character" w:customStyle="1" w:styleId="XboxChar">
    <w:name w:val="Xbox Char"/>
    <w:basedOn w:val="CheckboxChar"/>
    <w:link w:val="Xbox"/>
    <w:rsid w:val="00E16E6C"/>
    <w:rPr>
      <w:rFonts w:ascii="Calibri" w:eastAsia="Times New Roman" w:hAnsi="Calibri" w:cs="Arial"/>
      <w:color w:val="595959"/>
      <w:szCs w:val="20"/>
    </w:rPr>
  </w:style>
  <w:style w:type="character" w:customStyle="1" w:styleId="CallOutBoxChar">
    <w:name w:val="Call Out Box Char"/>
    <w:basedOn w:val="FooterChar"/>
    <w:link w:val="CallOutBox"/>
    <w:rsid w:val="0028463C"/>
    <w:rPr>
      <w:b/>
      <w:i/>
      <w:color w:val="CE2C43"/>
      <w:sz w:val="36"/>
      <w:szCs w:val="36"/>
    </w:rPr>
  </w:style>
  <w:style w:type="numbering" w:customStyle="1" w:styleId="BulletedList">
    <w:name w:val="Bulleted List"/>
    <w:uiPriority w:val="99"/>
    <w:rsid w:val="00991427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B77454"/>
    <w:pPr>
      <w:numPr>
        <w:numId w:val="7"/>
      </w:numPr>
      <w:spacing w:after="0"/>
    </w:pPr>
  </w:style>
  <w:style w:type="character" w:customStyle="1" w:styleId="BulletChar">
    <w:name w:val="Bullet Char"/>
    <w:basedOn w:val="DefaultParagraphFont"/>
    <w:link w:val="Bullet"/>
    <w:rsid w:val="00B77454"/>
  </w:style>
  <w:style w:type="character" w:styleId="Hyperlink">
    <w:name w:val="Hyperlink"/>
    <w:basedOn w:val="DefaultParagraphFont"/>
    <w:uiPriority w:val="99"/>
    <w:unhideWhenUsed/>
    <w:rsid w:val="00EF3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F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3D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3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cms.gov/files/document/2024-papi-parameters-guidance-2022-12-12.pdf" TargetMode="External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I:\Content%20Development\MASTER%20TEMPLATES\Legal%20Content\2022%20Compliance%20Document%20Templates\Legal%20Update\HEALTH_Legal%20Upda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0c095f-5d66-4273-a209-64796ae91974}" enabled="0" method="" siteId="{bd0c095f-5d66-4273-a209-64796ae919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HEALTH_Legal Update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Margerie, Erin</dc:creator>
  <cp:lastModifiedBy>Margerie, Erin</cp:lastModifiedBy>
  <cp:revision>2</cp:revision>
  <dcterms:created xsi:type="dcterms:W3CDTF">2022-12-22T00:42:00Z</dcterms:created>
  <dcterms:modified xsi:type="dcterms:W3CDTF">2022-12-22T00:42:00Z</dcterms:modified>
</cp:coreProperties>
</file>