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26000D" w:rsidRPr="008A7E71" w:rsidP="008A7E71" w14:paraId="2173578D" w14:textId="092E3385">
      <w:pPr>
        <w:pStyle w:val="MainTitle"/>
      </w:pPr>
      <w:r w:rsidR="00044ABA"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wrapNone/>
            <wp:docPr id="100031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2400" cy="3084195"/>
                          <a:chOff x="0" y="0"/>
                          <a:chExt cx="7772400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772400" cy="637607"/>
                            <a:chOff x="0" y="0"/>
                            <a:chExt cx="7772400" cy="63760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73"/>
                              <a:ext cx="7772400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4AB" w:rsidRPr="008864AB" w:rsidP="008864AB" w14:textId="394485D1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Legislative Resources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/>
                        </wps:wsp>
                      </wpg:grpSp>
                      <wps:wsp xmlns:wps="http://schemas.microsoft.com/office/word/2010/wordprocessingShape"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3520" y="373380"/>
                            <a:ext cx="236982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08C" w:rsidRPr="0024208C" w:rsidP="0024208C" w14:textId="0F0D7CD4">
                              <w:pPr>
                                <w:pStyle w:val="SubHeader"/>
                              </w:pPr>
                              <w:r>
                                <w:t>Bill S</w:t>
                              </w:r>
                              <w:r w:rsidR="00CC41D4">
                                <w:t>ummary</w:t>
                              </w:r>
                            </w:p>
                            <w:p w:rsidR="0024208C" w:rsidRPr="00D2167C" w:rsidP="00CC41D4" w14:textId="61A4A7EB">
                              <w:pPr>
                                <w:pStyle w:val="BodyText"/>
                              </w:pPr>
                              <w:r>
                                <w:t xml:space="preserve">A summary of the bill can </w:t>
                              </w:r>
                              <w:r>
                                <w:t>be found</w:t>
                              </w:r>
                              <w:r>
                                <w:t xml:space="preserve"> </w:t>
                              </w:r>
                              <w:hyperlink r:id="rId6" w:history="1">
                                <w:r w:rsidRPr="00CC41D4">
                                  <w:rPr>
                                    <w:rStyle w:val="Hyperlink"/>
                                  </w:rPr>
                                  <w:t>he</w:t>
                                </w:r>
                                <w:r w:rsidRPr="00CC41D4">
                                  <w:rPr>
                                    <w:rStyle w:val="Hyperlink"/>
                                  </w:rPr>
                                  <w:t>r</w:t>
                                </w:r>
                                <w:r w:rsidRPr="00CC41D4">
                                  <w:rPr>
                                    <w:rStyle w:val="Hyperlink"/>
                                  </w:rPr>
                                  <w:t>e</w:t>
                                </w:r>
                              </w:hyperlink>
                              <w:r w:rsidRPr="003E46C4" w:rsidR="003E46C4">
                                <w:t>.</w:t>
                              </w:r>
                            </w:p>
                            <w:p w:rsidR="0024208C" w:rsidP="0024208C" w14:textId="3F96EEAF">
                              <w:pPr>
                                <w:pStyle w:val="SubHeader"/>
                              </w:pPr>
                              <w:r>
                                <w:t>Section-by-Section Summary</w:t>
                              </w:r>
                            </w:p>
                            <w:p w:rsidR="003E46C4" w:rsidP="00CC41D4" w14:textId="2BC4130C">
                              <w:pPr>
                                <w:pStyle w:val="BodyText"/>
                              </w:pPr>
                              <w:r w:rsidRPr="003E46C4">
                                <w:t xml:space="preserve">A section-by-section summary of the legislation can be found </w:t>
                              </w:r>
                              <w:hyperlink r:id="rId7" w:history="1">
                                <w:r w:rsidRPr="003E46C4">
                                  <w:rPr>
                                    <w:color w:val="0563C1"/>
                                    <w:u w:val="single"/>
                                  </w:rPr>
                                  <w:t>here</w:t>
                                </w:r>
                              </w:hyperlink>
                              <w:r w:rsidRPr="003E46C4">
                                <w:t>.</w:t>
                              </w:r>
                            </w:p>
                            <w:p w:rsidR="003E46C4" w:rsidP="003E46C4" w14:textId="448B30C0">
                              <w:pPr>
                                <w:pStyle w:val="SubHeader"/>
                              </w:pPr>
                              <w:r>
                                <w:t>Original SECURE Act</w:t>
                              </w:r>
                            </w:p>
                            <w:p w:rsidR="003E46C4" w:rsidRPr="003E46C4" w:rsidP="003E46C4" w14:textId="69A42BDA">
                              <w:pPr>
                                <w:pStyle w:val="BodyText"/>
                                <w:spacing w:after="0"/>
                              </w:pPr>
                              <w:r w:rsidRPr="003E46C4">
                                <w:t xml:space="preserve">The U.S. Department of Labor has created a </w:t>
                              </w:r>
                              <w:hyperlink r:id="rId8" w:history="1">
                                <w:r w:rsidRPr="003E46C4">
                                  <w:rPr>
                                    <w:color w:val="0563C1"/>
                                    <w:u w:val="single"/>
                                  </w:rPr>
                                  <w:t>SECURE Act webpage</w:t>
                                </w:r>
                              </w:hyperlink>
                              <w:r w:rsidRPr="003E46C4">
                                <w:t xml:space="preserve"> for more information on the 2019 law.</w:t>
                              </w:r>
                            </w:p>
                            <w:p w:rsidR="003E46C4" w:rsidRPr="003E46C4" w:rsidP="003E46C4" w14:textId="4E48D492">
                              <w:pPr>
                                <w:pStyle w:val="BodyText"/>
                                <w:spacing w:after="40"/>
                              </w:pPr>
                            </w:p>
                            <w:p w:rsidR="003E46C4" w:rsidP="003E46C4" w14:textId="79100EDF">
                              <w:pPr>
                                <w:pStyle w:val="BodyText"/>
                              </w:pPr>
                            </w:p>
                            <w:p w:rsidR="0024208C" w:rsidP="004D34B3" w14:textId="2E13B945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196.8pt;margin-left:-35.4pt;mso-height-relative:margin;mso-position-vertical-relative:page;position:absolute;z-index:-251656192" coordsize="77724,30841">
                <v:group id="Group 15" o:spid="_x0000_s1026" style="width:77724;height:6376;position:absolute" coordsize="77724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4;height:6352;mso-wrap-style:square;position:absolute;top:24;visibility:visible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-text-anchor:middle;visibility:visible" filled="f" stroked="f">
                    <v:textbox>
                      <w:txbxContent>
                        <w:p w:rsidR="008864AB" w:rsidRPr="008864AB" w:rsidP="008864AB" w14:paraId="657F39AF" w14:textId="394485D1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Legislative Resources</w:t>
                          </w:r>
                        </w:p>
                      </w:txbxContent>
                    </v:textbox>
                  </v:shape>
                </v:group>
                <v:shape id="_x0000_s1029" type="#_x0000_t202" style="width:23698;height:27108;left:53035;mso-wrap-style:square;position:absolute;top:3733;v-text-anchor:top;visibility:visible" filled="f" stroked="f">
                  <v:textbox>
                    <w:txbxContent>
                      <w:p w:rsidR="0024208C" w:rsidRPr="0024208C" w:rsidP="0024208C" w14:paraId="6B7AEC45" w14:textId="0F0D7CD4">
                        <w:pPr>
                          <w:pStyle w:val="SubHeader"/>
                        </w:pPr>
                        <w:r>
                          <w:t>Bill S</w:t>
                        </w:r>
                        <w:r w:rsidR="00CC41D4">
                          <w:t>ummary</w:t>
                        </w:r>
                      </w:p>
                      <w:p w:rsidR="0024208C" w:rsidRPr="00D2167C" w:rsidP="00CC41D4" w14:paraId="65C70AA6" w14:textId="61A4A7EB">
                        <w:pPr>
                          <w:pStyle w:val="BodyText"/>
                        </w:pPr>
                        <w:r>
                          <w:t xml:space="preserve">A summary of the bill can </w:t>
                        </w:r>
                        <w:r>
                          <w:t>be found</w:t>
                        </w:r>
                        <w:r>
                          <w:t xml:space="preserve"> </w:t>
                        </w:r>
                        <w:hyperlink r:id="rId6" w:history="1">
                          <w:r w:rsidRPr="00CC41D4">
                            <w:rPr>
                              <w:rStyle w:val="Hyperlink"/>
                            </w:rPr>
                            <w:t>he</w:t>
                          </w:r>
                          <w:r w:rsidRPr="00CC41D4">
                            <w:rPr>
                              <w:rStyle w:val="Hyperlink"/>
                            </w:rPr>
                            <w:t>r</w:t>
                          </w:r>
                          <w:r w:rsidRPr="00CC41D4">
                            <w:rPr>
                              <w:rStyle w:val="Hyperlink"/>
                            </w:rPr>
                            <w:t>e</w:t>
                          </w:r>
                        </w:hyperlink>
                        <w:r w:rsidRPr="003E46C4" w:rsidR="003E46C4">
                          <w:t>.</w:t>
                        </w:r>
                      </w:p>
                      <w:p w:rsidR="0024208C" w:rsidP="0024208C" w14:paraId="1FF07E9D" w14:textId="3F96EEAF">
                        <w:pPr>
                          <w:pStyle w:val="SubHeader"/>
                        </w:pPr>
                        <w:r>
                          <w:t>Section-by-Section Summary</w:t>
                        </w:r>
                      </w:p>
                      <w:p w:rsidR="003E46C4" w:rsidP="00CC41D4" w14:paraId="55675AB7" w14:textId="2BC4130C">
                        <w:pPr>
                          <w:pStyle w:val="BodyText"/>
                        </w:pPr>
                        <w:r w:rsidRPr="003E46C4">
                          <w:t xml:space="preserve">A section-by-section summary of the legislation can be found </w:t>
                        </w:r>
                        <w:hyperlink r:id="rId7" w:history="1">
                          <w:r w:rsidRPr="003E46C4">
                            <w:rPr>
                              <w:color w:val="0563C1"/>
                              <w:u w:val="single"/>
                            </w:rPr>
                            <w:t>here</w:t>
                          </w:r>
                        </w:hyperlink>
                        <w:r w:rsidRPr="003E46C4">
                          <w:t>.</w:t>
                        </w:r>
                      </w:p>
                      <w:p w:rsidR="003E46C4" w:rsidP="003E46C4" w14:paraId="66BFDDD0" w14:textId="448B30C0">
                        <w:pPr>
                          <w:pStyle w:val="SubHeader"/>
                        </w:pPr>
                        <w:r>
                          <w:t>Original SECURE Act</w:t>
                        </w:r>
                      </w:p>
                      <w:p w:rsidR="003E46C4" w:rsidRPr="003E46C4" w:rsidP="003E46C4" w14:paraId="0A0DCB9C" w14:textId="69A42BDA">
                        <w:pPr>
                          <w:pStyle w:val="BodyText"/>
                          <w:spacing w:after="0"/>
                        </w:pPr>
                        <w:r w:rsidRPr="003E46C4">
                          <w:t xml:space="preserve">The U.S. Department of Labor has created a </w:t>
                        </w:r>
                        <w:hyperlink r:id="rId8" w:history="1">
                          <w:r w:rsidRPr="003E46C4">
                            <w:rPr>
                              <w:color w:val="0563C1"/>
                              <w:u w:val="single"/>
                            </w:rPr>
                            <w:t>SECURE Act webpage</w:t>
                          </w:r>
                        </w:hyperlink>
                        <w:r w:rsidRPr="003E46C4">
                          <w:t xml:space="preserve"> for more information on the 2019 law.</w:t>
                        </w:r>
                      </w:p>
                      <w:p w:rsidR="003E46C4" w:rsidRPr="003E46C4" w:rsidP="003E46C4" w14:paraId="1C1B84BC" w14:textId="4E48D492">
                        <w:pPr>
                          <w:pStyle w:val="BodyText"/>
                          <w:spacing w:after="40"/>
                        </w:pPr>
                      </w:p>
                      <w:p w:rsidR="003E46C4" w:rsidP="003E46C4" w14:paraId="68360D9F" w14:textId="79100EDF">
                        <w:pPr>
                          <w:pStyle w:val="BodyText"/>
                        </w:pPr>
                      </w:p>
                      <w:p w:rsidR="0024208C" w:rsidP="004D34B3" w14:paraId="597B0D98" w14:textId="2E13B945">
                        <w:pPr>
                          <w:pStyle w:val="BodyTex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44ABA">
        <w:t xml:space="preserve">“SECURE 2.0” </w:t>
      </w:r>
      <w:r w:rsidR="00CC41D4">
        <w:t>Becomes Law</w:t>
      </w:r>
    </w:p>
    <w:p w:rsidR="00044ABA" w:rsidP="003E46C4" w14:paraId="30F73CE2" w14:textId="067B3B51">
      <w:pPr>
        <w:pStyle w:val="BodyText"/>
        <w:spacing w:after="120"/>
      </w:pPr>
      <w:r w:rsidRPr="003E46C4">
        <w:t>On Dec. 2</w:t>
      </w:r>
      <w:r w:rsidR="00CC41D4">
        <w:t>9</w:t>
      </w:r>
      <w:r w:rsidR="001D3787">
        <w:t>,</w:t>
      </w:r>
      <w:r w:rsidRPr="003E46C4">
        <w:t xml:space="preserve"> 2022, </w:t>
      </w:r>
      <w:r w:rsidR="00CC41D4">
        <w:t>President Biden signed</w:t>
      </w:r>
      <w:r w:rsidRPr="003E46C4">
        <w:t xml:space="preserve"> the </w:t>
      </w:r>
      <w:hyperlink r:id="rId9" w:history="1">
        <w:r w:rsidRPr="003E46C4">
          <w:rPr>
            <w:color w:val="0563C1"/>
            <w:u w:val="single"/>
          </w:rPr>
          <w:t>Consolidated Appropriations Act of 2023</w:t>
        </w:r>
      </w:hyperlink>
      <w:r w:rsidRPr="003E46C4">
        <w:t xml:space="preserve">, an omnibus bill that includes the “SECURE 2.0” legislation, referred to as such because it builds on the Setting Every Community Up for Retirement Enhancement (SECURE) Act of 2019. </w:t>
      </w:r>
    </w:p>
    <w:p w:rsidR="003E46C4" w:rsidP="003E46C4" w14:paraId="02048AAA" w14:textId="786E0D0A">
      <w:pPr>
        <w:pStyle w:val="BodyText"/>
        <w:spacing w:after="120"/>
      </w:pPr>
      <w:r>
        <w:t>Key SECURE 2.0 provisions include:</w:t>
      </w:r>
    </w:p>
    <w:p w:rsidR="003E46C4" w:rsidRPr="000D3D36" w:rsidP="003E46C4" w14:paraId="03484173" w14:textId="77777777">
      <w:pPr>
        <w:pStyle w:val="Bullet"/>
        <w:ind w:left="360"/>
      </w:pPr>
      <w:r w:rsidRPr="000D3D36">
        <w:rPr>
          <w:b/>
          <w:bCs/>
        </w:rPr>
        <w:t>Expanding automatic enrollment</w:t>
      </w:r>
      <w:r w:rsidRPr="000D3D36">
        <w:t xml:space="preserve"> in 401(k) and 403(b) retirement plans (for plan years beginning after Dec. 31, 2024);</w:t>
      </w:r>
    </w:p>
    <w:p w:rsidR="003E46C4" w:rsidRPr="000D3D36" w:rsidP="003E46C4" w14:paraId="06039A45" w14:textId="77777777">
      <w:pPr>
        <w:pStyle w:val="Bullet"/>
        <w:ind w:left="360"/>
      </w:pPr>
      <w:r w:rsidRPr="000D3D36">
        <w:rPr>
          <w:b/>
          <w:bCs/>
        </w:rPr>
        <w:t>Increasing the age for required minimum distributions</w:t>
      </w:r>
      <w:r w:rsidRPr="000D3D36">
        <w:t xml:space="preserve"> (the SECURE Act increased this to age 72, while SECURE 2.0 raises the age further to </w:t>
      </w:r>
      <w:r w:rsidRPr="000D3D36">
        <w:t>73</w:t>
      </w:r>
      <w:r w:rsidRPr="000D3D36">
        <w:t xml:space="preserve"> starting on Jan. 1, 2023, and to age 75 on Jan. 1, 2033);</w:t>
      </w:r>
    </w:p>
    <w:p w:rsidR="003E46C4" w:rsidRPr="000D3D36" w:rsidP="003E46C4" w14:paraId="53420A19" w14:textId="305261FD">
      <w:pPr>
        <w:pStyle w:val="Bullet"/>
        <w:ind w:left="360"/>
      </w:pPr>
      <w:r>
        <w:rPr>
          <w:b/>
          <w:bCs/>
        </w:rPr>
        <w:t>Further reducing</w:t>
      </w:r>
      <w:r w:rsidRPr="000D3D36">
        <w:t xml:space="preserve"> </w:t>
      </w:r>
      <w:r w:rsidRPr="002F58A3">
        <w:rPr>
          <w:b/>
          <w:bCs/>
        </w:rPr>
        <w:t xml:space="preserve">the years of service requirements </w:t>
      </w:r>
      <w:r w:rsidRPr="000D31BA">
        <w:t xml:space="preserve">for </w:t>
      </w:r>
      <w:r w:rsidRPr="000D31BA">
        <w:t xml:space="preserve">part-time workers </w:t>
      </w:r>
      <w:r w:rsidRPr="000D31BA">
        <w:t xml:space="preserve">to participate in </w:t>
      </w:r>
      <w:r w:rsidRPr="000D31BA">
        <w:t>401(k) plans</w:t>
      </w:r>
      <w:r w:rsidRPr="000D3D36">
        <w:t xml:space="preserve"> </w:t>
      </w:r>
      <w:r w:rsidRPr="000D3D36">
        <w:t>(for plan years beginning after Dec. 31, 2024);</w:t>
      </w:r>
    </w:p>
    <w:p w:rsidR="003E46C4" w:rsidRPr="000D3D36" w:rsidP="003E46C4" w14:paraId="278A4CC5" w14:textId="77777777">
      <w:pPr>
        <w:pStyle w:val="Bullet"/>
        <w:ind w:left="360"/>
      </w:pPr>
      <w:r w:rsidRPr="000D3D36">
        <w:rPr>
          <w:b/>
          <w:bCs/>
        </w:rPr>
        <w:t xml:space="preserve">Indexing IRA catch-up contribution limits for people aged </w:t>
      </w:r>
      <w:r w:rsidRPr="000D3D36">
        <w:rPr>
          <w:b/>
          <w:bCs/>
        </w:rPr>
        <w:t>50</w:t>
      </w:r>
      <w:r w:rsidRPr="000D3D36">
        <w:rPr>
          <w:b/>
          <w:bCs/>
        </w:rPr>
        <w:t xml:space="preserve"> and over</w:t>
      </w:r>
      <w:r w:rsidRPr="000D3D36">
        <w:t xml:space="preserve"> (for taxable years beginning after Dec. 31, 2023);</w:t>
      </w:r>
    </w:p>
    <w:p w:rsidR="003E46C4" w:rsidRPr="000D3D36" w:rsidP="003E46C4" w14:paraId="7FAFEC91" w14:textId="77777777">
      <w:pPr>
        <w:pStyle w:val="Bullet"/>
        <w:ind w:left="360"/>
      </w:pPr>
      <w:r w:rsidRPr="000D3D36">
        <w:rPr>
          <w:b/>
          <w:bCs/>
        </w:rPr>
        <w:t xml:space="preserve">Increasing the catch-up limit to apply at age 60, 61, 62 and 63 </w:t>
      </w:r>
      <w:r w:rsidRPr="000D3D36">
        <w:t>(for taxable years beginning after Dec. 31, 2024);</w:t>
      </w:r>
    </w:p>
    <w:p w:rsidR="003E46C4" w:rsidRPr="000D3D36" w:rsidP="003E46C4" w14:paraId="1B137010" w14:textId="77777777">
      <w:pPr>
        <w:pStyle w:val="Bullet"/>
        <w:ind w:left="360"/>
      </w:pPr>
      <w:r w:rsidRPr="000D3D36">
        <w:rPr>
          <w:b/>
          <w:bCs/>
        </w:rPr>
        <w:t>Allowing SIMPLE IRAs to accept Roth contributions</w:t>
      </w:r>
      <w:r w:rsidRPr="000D3D36">
        <w:t xml:space="preserve"> (for tax years beginning after Dec. 31, 2022);</w:t>
      </w:r>
    </w:p>
    <w:p w:rsidR="003E46C4" w:rsidRPr="000D3D36" w:rsidP="003E46C4" w14:paraId="53BED32E" w14:textId="77777777">
      <w:pPr>
        <w:pStyle w:val="Bullet"/>
        <w:ind w:left="360"/>
      </w:pPr>
      <w:r w:rsidRPr="000D3D36">
        <w:rPr>
          <w:b/>
          <w:bCs/>
        </w:rPr>
        <w:t>Treating student loan payments as elective deferrals for purposes of matching contributions</w:t>
      </w:r>
      <w:r w:rsidRPr="000D3D36">
        <w:t xml:space="preserve"> (for plan years beginning after Dec. 31, 2023);</w:t>
      </w:r>
    </w:p>
    <w:p w:rsidR="003E46C4" w:rsidRPr="000D3D36" w:rsidP="003E46C4" w14:paraId="5AB85C7B" w14:textId="77777777">
      <w:pPr>
        <w:pStyle w:val="Bullet"/>
        <w:ind w:left="360"/>
        <w:rPr>
          <w:color w:val="FF0000"/>
        </w:rPr>
      </w:pPr>
      <w:r w:rsidRPr="000D3D36">
        <w:rPr>
          <w:b/>
          <w:bCs/>
        </w:rPr>
        <w:t>Modifying the credit for small employer pension plan startup costs</w:t>
      </w:r>
      <w:r w:rsidRPr="000D3D36">
        <w:t xml:space="preserve"> (for taxable years beginning after Dec. 31, 2022);</w:t>
      </w:r>
    </w:p>
    <w:p w:rsidR="003E46C4" w:rsidP="003E46C4" w14:paraId="15E663BC" w14:textId="77777777">
      <w:pPr>
        <w:pStyle w:val="Bullet"/>
        <w:ind w:left="360"/>
      </w:pPr>
      <w:r w:rsidRPr="000D3D36">
        <w:rPr>
          <w:b/>
          <w:bCs/>
        </w:rPr>
        <w:t>Establishing a national, online Retirement Savings Lost &amp; Found Database</w:t>
      </w:r>
      <w:r w:rsidRPr="000D3D36">
        <w:t xml:space="preserve"> for workers and retirees to find their lost retirement accounts (no later than two years after the date of enactment); and</w:t>
      </w:r>
    </w:p>
    <w:p w:rsidR="008A7E71" w:rsidRPr="004967FA" w:rsidP="003E46C4" w14:paraId="1CC55F58" w14:textId="5BE9EB4A">
      <w:pPr>
        <w:pStyle w:val="Bullet"/>
        <w:ind w:left="360"/>
      </w:pPr>
      <w:r w:rsidRPr="003E46C4">
        <w:rPr>
          <w:b/>
          <w:bCs/>
        </w:rPr>
        <w:t xml:space="preserve">Allowing small immediate financial incentives </w:t>
      </w:r>
      <w:r w:rsidRPr="000D3D36">
        <w:t>for contributing to a workplace retirement plan</w:t>
      </w:r>
      <w:r w:rsidR="0022430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5614416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1765" cy="2522855"/>
                          <a:chOff x="0" y="0"/>
                          <a:chExt cx="7771765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5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C53" w:rsidRPr="00A47C53" w:rsidP="00CF5E21" w14:textId="61DCB54F">
                              <w:pPr>
                                <w:pStyle w:val="CallOutBox"/>
                              </w:pPr>
                              <w:r>
                                <w:t xml:space="preserve">The bipartisan legislation </w:t>
                              </w:r>
                              <w:r w:rsidR="00E43E69">
                                <w:t>builds on the original SECURE Act of 2019, with varying effective dates</w:t>
                              </w:r>
                              <w:r w:rsidR="00C64903">
                                <w:t xml:space="preserve"> for its </w:t>
                              </w:r>
                              <w:r w:rsidR="00C64903">
                                <w:t>numerous</w:t>
                              </w:r>
                              <w:r w:rsidR="00C64903">
                                <w:t xml:space="preserve"> provisions</w:t>
                              </w:r>
                              <w:r w:rsidR="00E43E69">
                                <w:t>.</w:t>
                              </w:r>
                              <w:r w:rsidRPr="00A47C53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2.1pt;margin-left:0;mso-position-horizontal-relative:page;mso-position-vertical-relative:page;position:absolute;z-index:-251654144" coordsize="77717,25232">
                <v:shape id="Picture 5" o:spid="_x0000_s1031" type="#_x0000_t75" style="width:77717;height:6299;mso-wrap-style:square;position:absolute;visibility:visible">
                  <v:imagedata r:id="rId10" o:title=""/>
                </v:shape>
                <v:shape id="_x0000_s1032" type="#_x0000_t202" style="width:22936;height:24547;left:53187;mso-wrap-style:square;position:absolute;top:685;v-text-anchor:middle;visibility:visible" filled="f" stroked="f">
                  <v:textbox>
                    <w:txbxContent>
                      <w:p w:rsidR="00A47C53" w:rsidRPr="00A47C53" w:rsidP="00CF5E21" w14:paraId="1072A839" w14:textId="61DCB54F">
                        <w:pPr>
                          <w:pStyle w:val="CallOutBox"/>
                        </w:pPr>
                        <w:r>
                          <w:t xml:space="preserve">The bipartisan legislation </w:t>
                        </w:r>
                        <w:r w:rsidR="00E43E69">
                          <w:t>builds on the original SECURE Act of 2019, with varying effective dates</w:t>
                        </w:r>
                        <w:r w:rsidR="00C64903">
                          <w:t xml:space="preserve"> for its </w:t>
                        </w:r>
                        <w:r w:rsidR="00C64903">
                          <w:t>numerous</w:t>
                        </w:r>
                        <w:r w:rsidR="00C64903">
                          <w:t xml:space="preserve"> provisions</w:t>
                        </w:r>
                        <w:r w:rsidR="00E43E69">
                          <w:t>.</w:t>
                        </w:r>
                        <w:r w:rsidRPr="00A47C53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B15" w:rsidRPr="008864AB" w:rsidP="008F7B15" w14:textId="77777777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8864A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Central PA Benefit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 w14:paraId="04C1E013" w14:textId="77777777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8864AB">
                        <w:rPr>
                          <w:b/>
                          <w:color w:val="5083C9"/>
                          <w:sz w:val="20"/>
                          <w:szCs w:val="20"/>
                        </w:rPr>
                        <w:t>Central PA Benefit Solutions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20342">
        <w:t xml:space="preserve"> </w:t>
      </w:r>
      <w:r w:rsidRPr="00E20342" w:rsidR="00E20342">
        <w:t>(effective for plan years beginning after the date of enactment)</w:t>
      </w:r>
      <w:r w:rsidR="00E20342">
        <w:t>.</w:t>
      </w:r>
    </w:p>
    <w:sectPr w:rsidSect="008A7E71">
      <w:headerReference w:type="default" r:id="rId11"/>
      <w:footerReference w:type="default" r:id="rId12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7BED8481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AD3" w:rsidRPr="00817EEE" w:rsidP="00796AD3" w14:textId="77777777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</w:t>
                          </w:r>
                          <w:r w:rsidRPr="00947E11">
                            <w:rPr>
                              <w:szCs w:val="16"/>
                            </w:rPr>
                            <w:t>is not intended</w:t>
                          </w:r>
                          <w:r w:rsidRPr="00947E11">
                            <w:rPr>
                              <w:szCs w:val="16"/>
                            </w:rPr>
                            <w:t xml:space="preserve">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</w:t>
                          </w:r>
                          <w:r w:rsidR="00503740">
                            <w:t>2022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8F7B15" w:rsidRPr="00947E11" w:rsidP="008F7B15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0288" filled="f" stroked="f" strokeweight="0.5pt">
              <v:textbox>
                <w:txbxContent>
                  <w:p w:rsidR="00796AD3" w:rsidRPr="00817EEE" w:rsidP="00796AD3" w14:paraId="39D6C5CF" w14:textId="77777777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</w:t>
                    </w:r>
                    <w:r w:rsidRPr="00947E11">
                      <w:rPr>
                        <w:szCs w:val="16"/>
                      </w:rPr>
                      <w:t>is not intended</w:t>
                    </w:r>
                    <w:r w:rsidRPr="00947E11">
                      <w:rPr>
                        <w:szCs w:val="16"/>
                      </w:rPr>
                      <w:t xml:space="preserve">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</w:t>
                    </w:r>
                    <w:r w:rsidR="00503740">
                      <w:t>2022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 w14:paraId="7F6F58E2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 w14:paraId="6DB1C944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 w14:paraId="58831696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2336" from="0.6pt,475.9pt" to="344.4pt,475.9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28A61D57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7" cy="3856498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AF9" w:rsidRPr="00D35AF9" w:rsidP="00D35AF9" w14:textId="77777777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-text-anchor:top;visibility:visible;z-index:251660288" filled="f" stroked="f">
              <v:textbox>
                <w:txbxContent>
                  <w:p w:rsidR="00D35AF9" w:rsidRPr="00D35AF9" w:rsidP="00D35AF9" w14:paraId="36EC23D7" w14:textId="77777777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E95063"/>
    <w:multiLevelType w:val="hybridMultilevel"/>
    <w:tmpl w:val="0CE2A7C2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D8C"/>
    <w:multiLevelType w:val="hybridMultilevel"/>
    <w:tmpl w:val="796CB146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93AD4"/>
    <w:multiLevelType w:val="multilevel"/>
    <w:tmpl w:val="B13CDD56"/>
    <w:numStyleLink w:val="BulletedList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C4"/>
    <w:rsid w:val="00001C17"/>
    <w:rsid w:val="00044ABA"/>
    <w:rsid w:val="000D31BA"/>
    <w:rsid w:val="000D3D36"/>
    <w:rsid w:val="001050A8"/>
    <w:rsid w:val="0012162D"/>
    <w:rsid w:val="001631A4"/>
    <w:rsid w:val="001725D9"/>
    <w:rsid w:val="001B1A7E"/>
    <w:rsid w:val="001D3787"/>
    <w:rsid w:val="0022430C"/>
    <w:rsid w:val="0024208C"/>
    <w:rsid w:val="00253764"/>
    <w:rsid w:val="0026000D"/>
    <w:rsid w:val="002B61D1"/>
    <w:rsid w:val="002F58A3"/>
    <w:rsid w:val="002F786C"/>
    <w:rsid w:val="003267EB"/>
    <w:rsid w:val="003A6B72"/>
    <w:rsid w:val="003E46C4"/>
    <w:rsid w:val="00432EFE"/>
    <w:rsid w:val="00453F0C"/>
    <w:rsid w:val="0048508B"/>
    <w:rsid w:val="00485C3A"/>
    <w:rsid w:val="004967FA"/>
    <w:rsid w:val="004B125C"/>
    <w:rsid w:val="004D34B3"/>
    <w:rsid w:val="00503740"/>
    <w:rsid w:val="00584B55"/>
    <w:rsid w:val="005D05D9"/>
    <w:rsid w:val="006A2A41"/>
    <w:rsid w:val="00707343"/>
    <w:rsid w:val="007125D2"/>
    <w:rsid w:val="00770406"/>
    <w:rsid w:val="00796AD3"/>
    <w:rsid w:val="007E5EE7"/>
    <w:rsid w:val="00802FF0"/>
    <w:rsid w:val="00817EEE"/>
    <w:rsid w:val="00840A71"/>
    <w:rsid w:val="00855DD7"/>
    <w:rsid w:val="00856044"/>
    <w:rsid w:val="00871E9E"/>
    <w:rsid w:val="008864AB"/>
    <w:rsid w:val="008A7E71"/>
    <w:rsid w:val="008F7B15"/>
    <w:rsid w:val="00926535"/>
    <w:rsid w:val="009440BA"/>
    <w:rsid w:val="00947E11"/>
    <w:rsid w:val="0098636D"/>
    <w:rsid w:val="00993033"/>
    <w:rsid w:val="009D4BB6"/>
    <w:rsid w:val="009E2B6A"/>
    <w:rsid w:val="009E4DC9"/>
    <w:rsid w:val="00A337BD"/>
    <w:rsid w:val="00A47C53"/>
    <w:rsid w:val="00A61616"/>
    <w:rsid w:val="00A65FD8"/>
    <w:rsid w:val="00AB3085"/>
    <w:rsid w:val="00AD0649"/>
    <w:rsid w:val="00B821DC"/>
    <w:rsid w:val="00BA7D47"/>
    <w:rsid w:val="00BE45C1"/>
    <w:rsid w:val="00C556EC"/>
    <w:rsid w:val="00C64903"/>
    <w:rsid w:val="00C741AE"/>
    <w:rsid w:val="00CA6AD1"/>
    <w:rsid w:val="00CC41D4"/>
    <w:rsid w:val="00CF5E21"/>
    <w:rsid w:val="00D2167C"/>
    <w:rsid w:val="00D35AF9"/>
    <w:rsid w:val="00D379D5"/>
    <w:rsid w:val="00D76FCB"/>
    <w:rsid w:val="00DC3880"/>
    <w:rsid w:val="00DD1268"/>
    <w:rsid w:val="00E16E6C"/>
    <w:rsid w:val="00E20342"/>
    <w:rsid w:val="00E26E72"/>
    <w:rsid w:val="00E378E3"/>
    <w:rsid w:val="00E43E69"/>
    <w:rsid w:val="00E64D05"/>
    <w:rsid w:val="00E73236"/>
    <w:rsid w:val="00EC2053"/>
    <w:rsid w:val="00F32D2D"/>
    <w:rsid w:val="00F32F5A"/>
    <w:rsid w:val="00FA66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D05111"/>
  <w15:chartTrackingRefBased/>
  <w15:docId w15:val="{8E964FEE-39B1-470C-89D8-2569FC51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numbering" w:customStyle="1" w:styleId="BulletedList">
    <w:name w:val="Bulleted List"/>
    <w:uiPriority w:val="99"/>
    <w:rsid w:val="00DD1268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FA6666"/>
    <w:pPr>
      <w:numPr>
        <w:numId w:val="7"/>
      </w:numPr>
      <w:spacing w:after="0"/>
    </w:pPr>
  </w:style>
  <w:style w:type="character" w:customStyle="1" w:styleId="BulletChar">
    <w:name w:val="Bullet Char"/>
    <w:basedOn w:val="BodyTextChar"/>
    <w:link w:val="Bullet"/>
    <w:rsid w:val="00FA6666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3E4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6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png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www.congress.gov/bill/117th-congress/house-bill/2617" TargetMode="External" /><Relationship Id="rId7" Type="http://schemas.openxmlformats.org/officeDocument/2006/relationships/hyperlink" Target="https://www.finance.senate.gov/imo/media/doc/Secure%202.0_Section%20by%20Section%20Summary%2012-19-22%20FINAL.pdf" TargetMode="External" /><Relationship Id="rId8" Type="http://schemas.openxmlformats.org/officeDocument/2006/relationships/hyperlink" Target="https://www.dol.gov/agencies/ebsa/laws-and-regulations/laws/secure-act" TargetMode="External" /><Relationship Id="rId9" Type="http://schemas.openxmlformats.org/officeDocument/2006/relationships/hyperlink" Target="https://www.congress.gov/bill/117th-congress/house-bill/2617/text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\\zywave.com\dfs01\I\Content%20Development\MASTER%20TEMPLATES\Legal%20Content\2022%20Compliance%20Document%20Templates\Legal%20Update\EB_%20Legal%20Upd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342c0a1-57f4-481c-a533-a8f3be7e2e91}" enabled="1" method="Standard" siteId="{bd0c095f-5d66-4273-a209-64796ae9197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EB_ Legal Update</Template>
  <TotalTime>11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Hanrahan, Nicole</dc:creator>
  <cp:lastModifiedBy>Hanrahan, Nicole</cp:lastModifiedBy>
  <cp:revision>9</cp:revision>
  <dcterms:created xsi:type="dcterms:W3CDTF">2023-01-03T13:45:00Z</dcterms:created>
  <dcterms:modified xsi:type="dcterms:W3CDTF">2023-01-03T14:04:00Z</dcterms:modified>
</cp:coreProperties>
</file>