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8A7E71" w:rsidP="008A7E71" w14:paraId="17F15FA7" w14:textId="58C055CE">
      <w:pPr>
        <w:pStyle w:val="MainTitle"/>
      </w:pPr>
      <w:r w:rsidR="009854E9">
        <w:rPr>
          <w:noProof/>
        </w:rPr>
        <w:drawing>
          <wp:anchor simplePos="0" relativeHeight="251658240" behindDoc="0" locked="1" layoutInCell="1" allowOverlap="1">
            <wp:simplePos x="0" y="0"/>
            <wp:positionH relativeFrom="margin">
              <wp:posOffset>5080000</wp:posOffset>
            </wp:positionH>
            <wp:positionV relativeFrom="margin">
              <wp:posOffset>5969000</wp:posOffset>
            </wp:positionV>
            <wp:extent cx="1645923" cy="1120142"/>
            <wp:wrapNone/>
            <wp:docPr id="100031"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-449580</wp:posOffset>
                </wp:positionH>
                <wp:positionV relativeFrom="page">
                  <wp:posOffset>2499360</wp:posOffset>
                </wp:positionV>
                <wp:extent cx="7772400" cy="3084195"/>
                <wp:effectExtent l="0" t="0" r="0" b="1905"/>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3084195"/>
                          <a:chOff x="0" y="0"/>
                          <a:chExt cx="7772400" cy="3084195"/>
                        </a:xfrm>
                      </wpg:grpSpPr>
                      <wpg:grpSp>
                        <wpg:cNvPr id="15" name="Group 15"/>
                        <wpg:cNvGrpSpPr/>
                        <wpg:grpSpPr>
                          <a:xfrm>
                            <a:off x="0" y="0"/>
                            <a:ext cx="7772400" cy="637607"/>
                            <a:chOff x="0" y="0"/>
                            <a:chExt cx="7772400" cy="637607"/>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2473"/>
                              <a:ext cx="7772400" cy="635134"/>
                            </a:xfrm>
                            <a:prstGeom prst="rect">
                              <a:avLst/>
                            </a:prstGeom>
                          </pic:spPr>
                        </pic:pic>
                        <wps:wsp xmlns:wps="http://schemas.microsoft.com/office/word/2010/wordprocessingShape">
                          <wps:cNvPr id="13" name="Text Box 2"/>
                          <wps:cNvSpPr txBox="1">
                            <a:spLocks noChangeArrowheads="1"/>
                          </wps:cNvSpPr>
                          <wps:spPr bwMode="auto">
                            <a:xfrm>
                              <a:off x="5318760" y="0"/>
                              <a:ext cx="2293620" cy="342861"/>
                            </a:xfrm>
                            <a:prstGeom prst="rect">
                              <a:avLst/>
                            </a:prstGeom>
                            <a:noFill/>
                            <a:ln w="9525">
                              <a:noFill/>
                              <a:miter lim="800000"/>
                              <a:headEnd/>
                              <a:tailEnd/>
                            </a:ln>
                          </wps:spPr>
                          <wps:txbx>
                            <w:txbxContent>
                              <w:p w:rsidR="008864AB" w:rsidRPr="008864AB" w:rsidP="008864AB" w14:textId="77777777">
                                <w:pPr>
                                  <w:pStyle w:val="SubHeader"/>
                                  <w:rPr>
                                    <w:color w:val="FFFFFF" w:themeColor="background1"/>
                                  </w:rPr>
                                </w:pPr>
                                <w:r>
                                  <w:rPr>
                                    <w:color w:val="FFFFFF" w:themeColor="background1"/>
                                  </w:rPr>
                                  <w:t>Important</w:t>
                                </w:r>
                                <w:r w:rsidRPr="008864AB">
                                  <w:rPr>
                                    <w:color w:val="FFFFFF" w:themeColor="background1"/>
                                  </w:rPr>
                                  <w:t xml:space="preserve"> </w:t>
                                </w:r>
                                <w:r>
                                  <w:rPr>
                                    <w:color w:val="FFFFFF" w:themeColor="background1"/>
                                  </w:rPr>
                                  <w:t>Dates</w:t>
                                </w:r>
                              </w:p>
                            </w:txbxContent>
                          </wps:txbx>
                          <wps:bodyPr rot="0" vert="horz" wrap="square" lIns="91440" tIns="45720" rIns="91440" bIns="45720" anchor="ctr" anchorCtr="0"/>
                        </wps:wsp>
                      </wpg:grpSp>
                      <wps:wsp xmlns:wps="http://schemas.microsoft.com/office/word/2010/wordprocessingShape">
                        <wps:cNvPr id="217" name="Text Box 2"/>
                        <wps:cNvSpPr txBox="1">
                          <a:spLocks noChangeArrowheads="1"/>
                        </wps:cNvSpPr>
                        <wps:spPr bwMode="auto">
                          <a:xfrm>
                            <a:off x="5288280" y="373380"/>
                            <a:ext cx="2301240" cy="2710815"/>
                          </a:xfrm>
                          <a:prstGeom prst="rect">
                            <a:avLst/>
                          </a:prstGeom>
                          <a:noFill/>
                          <a:ln w="9525">
                            <a:noFill/>
                            <a:miter lim="800000"/>
                            <a:headEnd/>
                            <a:tailEnd/>
                          </a:ln>
                        </wps:spPr>
                        <wps:txbx>
                          <w:txbxContent>
                            <w:p w:rsidR="0024208C" w:rsidRPr="0024208C" w:rsidP="0024208C" w14:textId="1374FBD6">
                              <w:pPr>
                                <w:pStyle w:val="SubHeader"/>
                              </w:pPr>
                              <w:r>
                                <w:t>Dec</w:t>
                              </w:r>
                              <w:r w:rsidRPr="0024208C">
                                <w:t xml:space="preserve">. </w:t>
                              </w:r>
                              <w:r w:rsidR="008E6E9C">
                                <w:t>29</w:t>
                              </w:r>
                              <w:r w:rsidRPr="0024208C">
                                <w:t>, 20</w:t>
                              </w:r>
                              <w:r>
                                <w:t>2</w:t>
                              </w:r>
                              <w:r w:rsidR="008E6E9C">
                                <w:t>2</w:t>
                              </w:r>
                            </w:p>
                            <w:p w:rsidR="0024208C" w:rsidRPr="00D2167C" w:rsidP="0024208C" w14:textId="418BDC4B">
                              <w:pPr>
                                <w:pStyle w:val="BodyText"/>
                              </w:pPr>
                              <w:r>
                                <w:t xml:space="preserve">IRS announced the standard mileage rates for use in </w:t>
                              </w:r>
                              <w:r>
                                <w:t>202</w:t>
                              </w:r>
                              <w:r w:rsidR="003E0EB1">
                                <w:t>3</w:t>
                              </w:r>
                              <w:r>
                                <w:t xml:space="preserve">. </w:t>
                              </w:r>
                            </w:p>
                            <w:p w:rsidR="0024208C" w:rsidP="0024208C" w14:textId="0AB8CEC2">
                              <w:pPr>
                                <w:pStyle w:val="SubHeader"/>
                              </w:pPr>
                              <w:r>
                                <w:t>Jan</w:t>
                              </w:r>
                              <w:r w:rsidRPr="00D2167C">
                                <w:t>. 1, 20</w:t>
                              </w:r>
                              <w:r>
                                <w:t>2</w:t>
                              </w:r>
                              <w:r w:rsidR="008E6E9C">
                                <w:t>3</w:t>
                              </w:r>
                            </w:p>
                            <w:p w:rsidR="0024208C" w:rsidRPr="00D2167C" w:rsidP="0024208C" w14:textId="77777777">
                              <w:pPr>
                                <w:pStyle w:val="BodyText"/>
                              </w:pPr>
                              <w:r>
                                <w:t xml:space="preserve">New standard mileage rates go into effect. </w:t>
                              </w:r>
                            </w:p>
                          </w:txbxContent>
                        </wps:txbx>
                        <wps:bodyPr rot="0" vert="horz" wrap="square" lIns="91440" tIns="45720" rIns="91440" bIns="45720" anchor="t" anchorCtr="0"/>
                      </wps:wsp>
                    </wpg:wgp>
                  </a:graphicData>
                </a:graphic>
                <wp14:sizeRelV relativeFrom="margin">
                  <wp14:pctHeight>0</wp14:pctHeight>
                </wp14:sizeRelV>
              </wp:anchor>
            </w:drawing>
          </mc:Choice>
          <mc:Fallback>
            <w:pict>
              <v:group id="Group 16" o:spid="_x0000_s1025" style="width:612pt;height:242.85pt;margin-top:196.8pt;margin-left:-35.4pt;mso-height-relative:margin;mso-position-vertical-relative:page;position:absolute;z-index:-251656192" coordsize="77724,30841">
                <v:group id="Group 15" o:spid="_x0000_s1026" style="width:77724;height:6376;position:absolute" coordsize="77724,6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77724;height:6352;mso-wrap-style:square;position:absolute;top:24;visibility:visible">
                    <v:imagedata r:id="rId5" o:title=""/>
                  </v:shape>
                  <v:shapetype id="_x0000_t202" coordsize="21600,21600" o:spt="202" path="m,l,21600r21600,l21600,xe">
                    <v:stroke joinstyle="miter"/>
                    <v:path gradientshapeok="t" o:connecttype="rect"/>
                  </v:shapetype>
                  <v:shape id="_x0000_s1028" type="#_x0000_t202" style="width:22936;height:3428;left:53187;mso-wrap-style:square;position:absolute;v-text-anchor:middle;visibility:visible" filled="f" stroked="f">
                    <v:textbox>
                      <w:txbxContent>
                        <w:p w:rsidR="008864AB" w:rsidRPr="008864AB" w:rsidP="008864AB" w14:paraId="2C998E07" w14:textId="77777777">
                          <w:pPr>
                            <w:pStyle w:val="SubHeader"/>
                            <w:rPr>
                              <w:color w:val="FFFFFF" w:themeColor="background1"/>
                            </w:rPr>
                          </w:pPr>
                          <w:r>
                            <w:rPr>
                              <w:color w:val="FFFFFF" w:themeColor="background1"/>
                            </w:rPr>
                            <w:t>Important</w:t>
                          </w:r>
                          <w:r w:rsidRPr="008864AB">
                            <w:rPr>
                              <w:color w:val="FFFFFF" w:themeColor="background1"/>
                            </w:rPr>
                            <w:t xml:space="preserve"> </w:t>
                          </w:r>
                          <w:r>
                            <w:rPr>
                              <w:color w:val="FFFFFF" w:themeColor="background1"/>
                            </w:rPr>
                            <w:t>Dates</w:t>
                          </w:r>
                        </w:p>
                      </w:txbxContent>
                    </v:textbox>
                  </v:shape>
                </v:group>
                <v:shape id="_x0000_s1029" type="#_x0000_t202" style="width:23013;height:27108;left:52882;mso-wrap-style:square;position:absolute;top:3733;v-text-anchor:top;visibility:visible" filled="f" stroked="f">
                  <v:textbox>
                    <w:txbxContent>
                      <w:p w:rsidR="0024208C" w:rsidRPr="0024208C" w:rsidP="0024208C" w14:paraId="4F545F95" w14:textId="1374FBD6">
                        <w:pPr>
                          <w:pStyle w:val="SubHeader"/>
                        </w:pPr>
                        <w:r>
                          <w:t>Dec</w:t>
                        </w:r>
                        <w:r w:rsidRPr="0024208C">
                          <w:t xml:space="preserve">. </w:t>
                        </w:r>
                        <w:r w:rsidR="008E6E9C">
                          <w:t>29</w:t>
                        </w:r>
                        <w:r w:rsidRPr="0024208C">
                          <w:t>, 20</w:t>
                        </w:r>
                        <w:r>
                          <w:t>2</w:t>
                        </w:r>
                        <w:r w:rsidR="008E6E9C">
                          <w:t>2</w:t>
                        </w:r>
                      </w:p>
                      <w:p w:rsidR="0024208C" w:rsidRPr="00D2167C" w:rsidP="0024208C" w14:paraId="72E3A859" w14:textId="418BDC4B">
                        <w:pPr>
                          <w:pStyle w:val="BodyText"/>
                        </w:pPr>
                        <w:r>
                          <w:t xml:space="preserve">IRS announced the standard mileage rates for use in </w:t>
                        </w:r>
                        <w:r>
                          <w:t>202</w:t>
                        </w:r>
                        <w:r w:rsidR="003E0EB1">
                          <w:t>3</w:t>
                        </w:r>
                        <w:r>
                          <w:t xml:space="preserve">. </w:t>
                        </w:r>
                      </w:p>
                      <w:p w:rsidR="0024208C" w:rsidP="0024208C" w14:paraId="22BE5AA4" w14:textId="0AB8CEC2">
                        <w:pPr>
                          <w:pStyle w:val="SubHeader"/>
                        </w:pPr>
                        <w:r>
                          <w:t>Jan</w:t>
                        </w:r>
                        <w:r w:rsidRPr="00D2167C">
                          <w:t>. 1, 20</w:t>
                        </w:r>
                        <w:r>
                          <w:t>2</w:t>
                        </w:r>
                        <w:r w:rsidR="008E6E9C">
                          <w:t>3</w:t>
                        </w:r>
                      </w:p>
                      <w:p w:rsidR="0024208C" w:rsidRPr="00D2167C" w:rsidP="0024208C" w14:paraId="7BA8063D" w14:textId="77777777">
                        <w:pPr>
                          <w:pStyle w:val="BodyText"/>
                        </w:pPr>
                        <w:r>
                          <w:t xml:space="preserve">New standard mileage rates go into effect. </w:t>
                        </w:r>
                      </w:p>
                    </w:txbxContent>
                  </v:textbox>
                </v:shape>
              </v:group>
            </w:pict>
          </mc:Fallback>
        </mc:AlternateContent>
      </w:r>
      <w:r w:rsidR="009854E9">
        <w:rPr>
          <w:noProof/>
        </w:rPr>
        <w:t>IRS Announces 202</w:t>
      </w:r>
      <w:r w:rsidR="008E6E9C">
        <w:rPr>
          <w:noProof/>
        </w:rPr>
        <w:t>3</w:t>
      </w:r>
      <w:r w:rsidR="009854E9">
        <w:rPr>
          <w:noProof/>
        </w:rPr>
        <w:t xml:space="preserve"> Standard Mileage Rates</w:t>
      </w:r>
    </w:p>
    <w:p w:rsidR="009854E9" w:rsidP="009854E9" w14:paraId="21EF5054" w14:textId="5811CFBC">
      <w:pPr>
        <w:pStyle w:val="BodyText"/>
      </w:pPr>
      <w:r>
        <w:t xml:space="preserve">On Dec. </w:t>
      </w:r>
      <w:r w:rsidR="008E6E9C">
        <w:t>29</w:t>
      </w:r>
      <w:r>
        <w:t>, 202</w:t>
      </w:r>
      <w:r w:rsidR="008E6E9C">
        <w:t>2</w:t>
      </w:r>
      <w:r>
        <w:t xml:space="preserve">, the IRS </w:t>
      </w:r>
      <w:hyperlink r:id="rId6" w:history="1">
        <w:r w:rsidRPr="0017247D" w:rsidR="0017247D">
          <w:rPr>
            <w:rStyle w:val="Hyperlink"/>
          </w:rPr>
          <w:t>announced</w:t>
        </w:r>
      </w:hyperlink>
      <w:r>
        <w:t xml:space="preserve"> the 202</w:t>
      </w:r>
      <w:r w:rsidR="008E6E9C">
        <w:t>3</w:t>
      </w:r>
      <w:r>
        <w:t xml:space="preserve"> optional standard mileage rates, which are used to calculate the deductible costs of operating an automobile for business, charitable, medical or moving purposes. </w:t>
      </w:r>
    </w:p>
    <w:p w:rsidR="009854E9" w:rsidP="009854E9" w14:paraId="74E96501" w14:textId="49030CA4">
      <w:pPr>
        <w:pStyle w:val="BodyText"/>
      </w:pPr>
      <w:r>
        <w:t>The 202</w:t>
      </w:r>
      <w:r w:rsidR="008E6E9C">
        <w:t>3</w:t>
      </w:r>
      <w:r>
        <w:t xml:space="preserve"> standard mileage rates for the use of a car (also vans, pickups or panel trucks) will be:</w:t>
      </w:r>
    </w:p>
    <w:p w:rsidR="009854E9" w:rsidP="009854E9" w14:paraId="38D4C3EF" w14:textId="755A28CE">
      <w:pPr>
        <w:pStyle w:val="Bullet"/>
      </w:pPr>
      <w:r>
        <w:t>65</w:t>
      </w:r>
      <w:r w:rsidR="00040C8A">
        <w:t>.5</w:t>
      </w:r>
      <w:r>
        <w:t xml:space="preserve"> cents per mile driven for business use, </w:t>
      </w:r>
      <w:r w:rsidR="00040C8A">
        <w:t>up</w:t>
      </w:r>
      <w:r>
        <w:t xml:space="preserve"> </w:t>
      </w:r>
      <w:r>
        <w:t>three</w:t>
      </w:r>
      <w:r>
        <w:t xml:space="preserve"> cents from the </w:t>
      </w:r>
      <w:r>
        <w:t xml:space="preserve">midyear </w:t>
      </w:r>
      <w:r>
        <w:t xml:space="preserve">rate for </w:t>
      </w:r>
      <w:r>
        <w:t xml:space="preserve">the second half of </w:t>
      </w:r>
      <w:r>
        <w:t>202</w:t>
      </w:r>
      <w:r>
        <w:t>2</w:t>
      </w:r>
      <w:r>
        <w:t>;</w:t>
      </w:r>
    </w:p>
    <w:p w:rsidR="009854E9" w:rsidP="009854E9" w14:paraId="556D894E" w14:textId="4941B9CC">
      <w:pPr>
        <w:pStyle w:val="Bullet"/>
      </w:pPr>
      <w:r>
        <w:t>22</w:t>
      </w:r>
      <w:r>
        <w:t xml:space="preserve"> cents per mile driven for medical </w:t>
      </w:r>
      <w:r w:rsidR="000D6BF3">
        <w:t xml:space="preserve">purposes </w:t>
      </w:r>
      <w:r>
        <w:t xml:space="preserve">or </w:t>
      </w:r>
      <w:r w:rsidR="000D6BF3">
        <w:t xml:space="preserve">for </w:t>
      </w:r>
      <w:r>
        <w:t xml:space="preserve">moving purposes for qualified active duty members of the Armed Forces, </w:t>
      </w:r>
      <w:r w:rsidR="00040C8A">
        <w:t>u</w:t>
      </w:r>
      <w:r>
        <w:t xml:space="preserve">nchanged </w:t>
      </w:r>
      <w:r>
        <w:t xml:space="preserve"> from</w:t>
      </w:r>
      <w:r>
        <w:t xml:space="preserve"> the </w:t>
      </w:r>
      <w:r>
        <w:t xml:space="preserve">midyear </w:t>
      </w:r>
      <w:r>
        <w:t>rate for</w:t>
      </w:r>
      <w:r>
        <w:t xml:space="preserve"> the second half of</w:t>
      </w:r>
      <w:r>
        <w:t xml:space="preserve"> 202</w:t>
      </w:r>
      <w:r>
        <w:t>2</w:t>
      </w:r>
      <w:r>
        <w:t>; and</w:t>
      </w:r>
    </w:p>
    <w:p w:rsidR="009854E9" w:rsidP="009854E9" w14:paraId="66395B3D" w14:textId="25F6A747">
      <w:pPr>
        <w:pStyle w:val="Bullet"/>
      </w:pPr>
      <w:r>
        <w:t>14 cents per mile driven in service of charitable organizations. The rate is set by statute and remains unchanged from 202</w:t>
      </w:r>
      <w:r w:rsidR="00D9024F">
        <w:t>2</w:t>
      </w:r>
      <w:r>
        <w:t>.</w:t>
      </w:r>
    </w:p>
    <w:p w:rsidR="00EC2053" w:rsidRPr="008A7E71" w:rsidP="001B1A7E" w14:paraId="416E0E33" w14:textId="77777777">
      <w:pPr>
        <w:pStyle w:val="Xbox"/>
        <w:numPr>
          <w:ilvl w:val="0"/>
          <w:numId w:val="0"/>
        </w:numPr>
        <w:ind w:left="540"/>
      </w:pPr>
    </w:p>
    <w:p w:rsidR="000D6BF3" w:rsidP="000D6BF3" w14:paraId="3623889B" w14:textId="77777777">
      <w:pPr>
        <w:pStyle w:val="BodyText"/>
        <w:rPr>
          <w:b/>
        </w:rPr>
      </w:pPr>
      <w:r w:rsidRPr="00EC7F87">
        <w:t>U</w:t>
      </w:r>
      <w:r w:rsidRPr="000D6BF3">
        <w:t xml:space="preserve">nder the Tax Cuts and Jobs Act, taxpayers </w:t>
      </w:r>
      <w:r w:rsidRPr="000D6BF3">
        <w:rPr>
          <w:b/>
        </w:rPr>
        <w:t>cannot</w:t>
      </w:r>
      <w:r w:rsidRPr="000D6BF3">
        <w:t xml:space="preserve"> claim a miscellaneous itemized deduction for unreimbursed employee travel expenses. Taxpayers also </w:t>
      </w:r>
      <w:r w:rsidRPr="000D6BF3">
        <w:rPr>
          <w:b/>
        </w:rPr>
        <w:t xml:space="preserve">cannot </w:t>
      </w:r>
      <w:r w:rsidRPr="000D6BF3">
        <w:t xml:space="preserve">claim a deduction for moving expenses, unless they are members of the Armed Forces on active duty moving under orders to a permanent change of station. </w:t>
      </w:r>
    </w:p>
    <w:p w:rsidR="000D6BF3" w:rsidP="000D6BF3" w14:paraId="0C3C6021" w14:textId="77777777">
      <w:pPr>
        <w:pStyle w:val="BodyText"/>
      </w:pPr>
      <w:r>
        <w:t>Taxpayers always have the option of calculating the actual costs of using their vehicle rather than using the standard mileage rates.</w:t>
      </w:r>
    </w:p>
    <w:p w:rsidR="000D6BF3" w:rsidP="000D6BF3" w14:paraId="03407FD9" w14:textId="77777777">
      <w:pPr>
        <w:pStyle w:val="BodyText"/>
      </w:pPr>
      <w:r>
        <w:t>Taxpayers can use the standard mileage rate but must opt to use it in the first year the car is available for business use. Then, in later years, they can choose either the standard mileage rate or actual expenses. Leased vehicles must use the standard mileage rate method for the entire lease period (including renewals) if the standard mileage rate is chosen.</w:t>
      </w:r>
    </w:p>
    <w:p w:rsidR="008A7E71" w:rsidRPr="004967FA" w:rsidP="004967FA" w14:paraId="5C75619A" w14:textId="77777777">
      <w:pPr>
        <w:pStyle w:val="BodyText"/>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5614416</wp:posOffset>
                </wp:positionV>
                <wp:extent cx="7771765" cy="2522855"/>
                <wp:effectExtent l="0" t="0" r="635"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522855"/>
                          <a:chOff x="0" y="0"/>
                          <a:chExt cx="7771765" cy="2523226"/>
                        </a:xfrm>
                      </wpg:grpSpPr>
                      <pic:pic xmlns:pic="http://schemas.openxmlformats.org/drawingml/2006/picture">
                        <pic:nvPicPr>
                          <pic:cNvPr id="5" name="Picture 5"/>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7771765" cy="629920"/>
                          </a:xfrm>
                          <a:prstGeom prst="rect">
                            <a:avLst/>
                          </a:prstGeom>
                        </pic:spPr>
                      </pic:pic>
                      <wps:wsp xmlns:wps="http://schemas.microsoft.com/office/word/2010/wordprocessingShape">
                        <wps:cNvPr id="10" name="Text Box 2"/>
                        <wps:cNvSpPr txBox="1">
                          <a:spLocks noChangeArrowheads="1"/>
                        </wps:cNvSpPr>
                        <wps:spPr bwMode="auto">
                          <a:xfrm>
                            <a:off x="5318760" y="68580"/>
                            <a:ext cx="2293620" cy="2454646"/>
                          </a:xfrm>
                          <a:prstGeom prst="rect">
                            <a:avLst/>
                          </a:prstGeom>
                          <a:noFill/>
                          <a:ln w="9525">
                            <a:noFill/>
                            <a:miter lim="800000"/>
                            <a:headEnd/>
                            <a:tailEnd/>
                          </a:ln>
                        </wps:spPr>
                        <wps:txbx>
                          <w:txbxContent>
                            <w:p w:rsidR="00A47C53" w:rsidRPr="00A47C53" w:rsidP="00CF5E21" w14:textId="77777777">
                              <w:pPr>
                                <w:pStyle w:val="CallOutBox"/>
                              </w:pPr>
                              <w:r>
                                <w:t>Taxpayers may use the actual costs of operating their vehicle in calculating the deduction, instead of using the IRS standard rate.</w:t>
                              </w:r>
                              <w:r w:rsidRPr="00A47C53">
                                <w:t xml:space="preserve"> </w:t>
                              </w:r>
                            </w:p>
                          </w:txbxContent>
                        </wps:txbx>
                        <wps:bodyPr rot="0" vert="horz" wrap="square" lIns="91440" tIns="45720" rIns="91440" bIns="45720" anchor="ctr" anchorCtr="0"/>
                      </wps:wsp>
                    </wpg:wgp>
                  </a:graphicData>
                </a:graphic>
              </wp:anchor>
            </w:drawing>
          </mc:Choice>
          <mc:Fallback>
            <w:pict>
              <v:group id="Group 11" o:spid="_x0000_s1030" style="width:611.95pt;height:198.65pt;margin-top:442.1pt;margin-left:0;mso-position-horizontal-relative:page;mso-position-vertical-relative:page;position:absolute;z-index:-251654144" coordsize="77717,25232">
                <v:shape id="Picture 5" o:spid="_x0000_s1031" type="#_x0000_t75" style="width:77717;height:6299;mso-wrap-style:square;position:absolute;visibility:visible">
                  <v:imagedata r:id="rId7" o:title=""/>
                </v:shape>
                <v:shape id="_x0000_s1032" type="#_x0000_t202" style="width:22936;height:24547;left:53187;mso-wrap-style:square;position:absolute;top:685;v-text-anchor:middle;visibility:visible" filled="f" stroked="f">
                  <v:textbox>
                    <w:txbxContent>
                      <w:p w:rsidR="00A47C53" w:rsidRPr="00A47C53" w:rsidP="00CF5E21" w14:paraId="57713BC6" w14:textId="77777777">
                        <w:pPr>
                          <w:pStyle w:val="CallOutBox"/>
                        </w:pPr>
                        <w:r>
                          <w:t xml:space="preserve">Taxpayers may use the actual costs of operating their vehicle in calculating the deduction, instead of using </w:t>
                        </w:r>
                        <w:bookmarkStart w:id="0" w:name="_GoBack"/>
                        <w:bookmarkEnd w:id="0"/>
                        <w:r>
                          <w:t>the IRS standard rate.</w:t>
                        </w:r>
                        <w:r w:rsidRPr="00A47C53">
                          <w:t xml:space="preserve"> </w:t>
                        </w:r>
                      </w:p>
                    </w:txbxContent>
                  </v:textbox>
                </v:shape>
              </v:group>
            </w:pict>
          </mc:Fallback>
        </mc:AlternateContent>
      </w:r>
      <w:r w:rsidR="008F7B15">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margin">
                  <wp:posOffset>6074410</wp:posOffset>
                </wp:positionV>
                <wp:extent cx="4409440" cy="53848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09440" cy="538480"/>
                        </a:xfrm>
                        <a:prstGeom prst="rect">
                          <a:avLst/>
                        </a:prstGeom>
                        <a:noFill/>
                        <a:ln w="6350">
                          <a:noFill/>
                        </a:ln>
                        <a:effectLst/>
                      </wps:spPr>
                      <wps:txbx>
                        <w:txbxContent>
                          <w:p w:rsidR="008F7B15" w:rsidRPr="008864AB" w:rsidP="008F7B15" w14:textId="77777777">
                            <w:pPr>
                              <w:pStyle w:val="Header"/>
                              <w:rPr>
                                <w:sz w:val="20"/>
                                <w:szCs w:val="20"/>
                              </w:rPr>
                            </w:pPr>
                            <w:r w:rsidRPr="008864AB">
                              <w:rPr>
                                <w:color w:val="595959" w:themeColor="text1" w:themeTint="A6"/>
                                <w:sz w:val="20"/>
                                <w:szCs w:val="20"/>
                              </w:rPr>
                              <w:t xml:space="preserve">Provided to you by </w:t>
                            </w:r>
                            <w:r w:rsidRPr="008864AB">
                              <w:rPr>
                                <w:b/>
                                <w:color w:val="5083C9"/>
                                <w:sz w:val="20"/>
                                <w:szCs w:val="20"/>
                              </w:rPr>
                              <w:t>Central PA Benefit 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width:347.2pt;height:42.4pt;margin-top:478.3pt;margin-left:0;mso-height-percent:0;mso-height-relative:margin;mso-position-horizontal:right;mso-position-horizontal-relative:margin;mso-position-vertical-relative:margin;mso-width-percent:0;mso-width-relative:margin;mso-wrap-distance-bottom:0;mso-wrap-distance-left:9pt;mso-wrap-distance-right:9pt;mso-wrap-distance-top:0;position:absolute;v-text-anchor:top;z-index:251663360" filled="f" fillcolor="this" stroked="f" strokeweight="0.5pt">
                <v:textbox>
                  <w:txbxContent>
                    <w:p w:rsidR="008F7B15" w:rsidRPr="008864AB" w:rsidP="008F7B15" w14:paraId="0D8F09BA" w14:textId="77777777">
                      <w:pPr>
                        <w:pStyle w:val="Header"/>
                        <w:rPr>
                          <w:sz w:val="20"/>
                          <w:szCs w:val="20"/>
                        </w:rPr>
                      </w:pPr>
                      <w:r w:rsidRPr="008864AB">
                        <w:rPr>
                          <w:color w:val="595959" w:themeColor="text1" w:themeTint="A6"/>
                          <w:sz w:val="20"/>
                          <w:szCs w:val="20"/>
                        </w:rPr>
                        <w:t xml:space="preserve">Provided to you by </w:t>
                      </w:r>
                      <w:r w:rsidRPr="008864AB">
                        <w:rPr>
                          <w:b/>
                          <w:color w:val="5083C9"/>
                          <w:sz w:val="20"/>
                          <w:szCs w:val="20"/>
                        </w:rPr>
                        <w:t>Central PA Benefit Solutions</w:t>
                      </w:r>
                    </w:p>
                  </w:txbxContent>
                </v:textbox>
                <w10:wrap anchorx="margin" anchory="margin"/>
              </v:shape>
            </w:pict>
          </mc:Fallback>
        </mc:AlternateContent>
      </w:r>
      <w:r w:rsidRPr="008A7E71" w:rsidR="008A7E71">
        <w:t xml:space="preserve"> </w:t>
      </w:r>
    </w:p>
    <w:sectPr w:rsidSect="008A7E71">
      <w:headerReference w:type="default" r:id="rId8"/>
      <w:footerReference w:type="default" r:id="rId9"/>
      <w:pgSz w:w="12240" w:h="15840"/>
      <w:pgMar w:top="3946" w:right="46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393D6698"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-53340</wp:posOffset>
              </wp:positionH>
              <wp:positionV relativeFrom="paragraph">
                <wp:posOffset>-294005</wp:posOffset>
              </wp:positionV>
              <wp:extent cx="4732020" cy="556260"/>
              <wp:effectExtent l="0" t="0" r="0" b="0"/>
              <wp:wrapNone/>
              <wp:docPr id="81" name="Text 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4732020" cy="556260"/>
                      </a:xfrm>
                      <a:prstGeom prst="rect">
                        <a:avLst/>
                      </a:prstGeom>
                      <a:noFill/>
                      <a:ln w="6350">
                        <a:noFill/>
                      </a:ln>
                      <a:effectLst/>
                    </wps:spPr>
                    <wps:txbx>
                      <w:txbxContent>
                        <w:p w:rsidR="00796AD3" w:rsidRPr="00817EEE" w:rsidP="00796AD3" w14:textId="728DF6F2">
                          <w:pPr>
                            <w:pStyle w:val="Disclaimer"/>
                          </w:pPr>
                          <w:r w:rsidRPr="00947E11">
                            <w:rPr>
                              <w:szCs w:val="16"/>
                            </w:rPr>
                            <w:t xml:space="preserve">This </w:t>
                          </w:r>
                          <w:r>
                            <w:rPr>
                              <w:szCs w:val="16"/>
                            </w:rPr>
                            <w:t>Legal Update</w:t>
                          </w:r>
                          <w:r w:rsidRPr="00947E11">
                            <w:rPr>
                              <w:szCs w:val="16"/>
                            </w:rPr>
                            <w:t xml:space="preserve"> is not intended to be exhaustive nor should any discussion or </w:t>
                          </w:r>
                          <w:r w:rsidR="008864AB">
                            <w:rPr>
                              <w:szCs w:val="16"/>
                            </w:rPr>
                            <w:t>o</w:t>
                          </w:r>
                          <w:r w:rsidRPr="00947E11">
                            <w:rPr>
                              <w:szCs w:val="16"/>
                            </w:rPr>
                            <w:t xml:space="preserve">pinions be construed as legal advice. Readers should contact </w:t>
                          </w:r>
                          <w:r>
                            <w:rPr>
                              <w:szCs w:val="16"/>
                            </w:rPr>
                            <w:t xml:space="preserve">legal counsel for legal advice. </w:t>
                          </w:r>
                          <w:r w:rsidRPr="00817EEE">
                            <w:t>©</w:t>
                          </w:r>
                          <w:r w:rsidR="0017247D">
                            <w:t xml:space="preserve"> </w:t>
                          </w:r>
                          <w:r w:rsidRPr="00817EEE">
                            <w:t>20</w:t>
                          </w:r>
                          <w:r w:rsidR="000D6BF3">
                            <w:t>2</w:t>
                          </w:r>
                          <w:r w:rsidR="00D9024F">
                            <w:t>2</w:t>
                          </w:r>
                          <w:r>
                            <w:t xml:space="preserve"> </w:t>
                          </w:r>
                          <w:r w:rsidRPr="00817EEE">
                            <w:t>Zywave, Inc.</w:t>
                          </w:r>
                          <w:r>
                            <w:t xml:space="preserve"> </w:t>
                          </w:r>
                          <w:r w:rsidRPr="00817EEE">
                            <w:t>All rights reserved.</w:t>
                          </w:r>
                        </w:p>
                        <w:p w:rsidR="00796AD3" w:rsidRPr="00947E11" w:rsidP="00796AD3" w14:textId="77777777">
                          <w:pPr>
                            <w:pStyle w:val="Disclaimer"/>
                            <w:rPr>
                              <w:szCs w:val="16"/>
                            </w:rPr>
                          </w:pPr>
                        </w:p>
                        <w:p w:rsidR="00796AD3" w:rsidRPr="00947E11" w:rsidP="00796AD3" w14:textId="77777777">
                          <w:pPr>
                            <w:pStyle w:val="Disclaimer"/>
                            <w:rPr>
                              <w:szCs w:val="16"/>
                            </w:rPr>
                          </w:pPr>
                        </w:p>
                        <w:p w:rsidR="008F7B15" w:rsidRPr="00947E11" w:rsidP="008F7B15" w14:textId="77777777">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 o:spid="_x0000_s2050" type="#_x0000_t202" style="width:372.6pt;height:43.8pt;margin-top:-23.15pt;margin-left:-4.2pt;mso-height-percent:0;mso-height-relative:margin;mso-position-horizontal-relative:margin;mso-width-percent:0;mso-width-relative:margin;mso-wrap-distance-bottom:0;mso-wrap-distance-left:9pt;mso-wrap-distance-right:9pt;mso-wrap-distance-top:0;mso-wrap-style:square;position:absolute;v-text-anchor:top;visibility:visible;z-index:251660288" filled="f" stroked="f" strokeweight="0.5pt">
              <v:textbox>
                <w:txbxContent>
                  <w:p w:rsidR="00796AD3" w:rsidRPr="00817EEE" w:rsidP="00796AD3" w14:paraId="1F70CE0F" w14:textId="728DF6F2">
                    <w:pPr>
                      <w:pStyle w:val="Disclaimer"/>
                    </w:pPr>
                    <w:r w:rsidRPr="00947E11">
                      <w:rPr>
                        <w:szCs w:val="16"/>
                      </w:rPr>
                      <w:t xml:space="preserve">This </w:t>
                    </w:r>
                    <w:r>
                      <w:rPr>
                        <w:szCs w:val="16"/>
                      </w:rPr>
                      <w:t>Legal Update</w:t>
                    </w:r>
                    <w:r w:rsidRPr="00947E11">
                      <w:rPr>
                        <w:szCs w:val="16"/>
                      </w:rPr>
                      <w:t xml:space="preserve"> is not intended to be exhaustive nor should any discussion or </w:t>
                    </w:r>
                    <w:r w:rsidR="008864AB">
                      <w:rPr>
                        <w:szCs w:val="16"/>
                      </w:rPr>
                      <w:t>o</w:t>
                    </w:r>
                    <w:r w:rsidRPr="00947E11">
                      <w:rPr>
                        <w:szCs w:val="16"/>
                      </w:rPr>
                      <w:t xml:space="preserve">pinions be construed as legal advice. Readers should contact </w:t>
                    </w:r>
                    <w:r>
                      <w:rPr>
                        <w:szCs w:val="16"/>
                      </w:rPr>
                      <w:t xml:space="preserve">legal counsel for legal advice. </w:t>
                    </w:r>
                    <w:r w:rsidRPr="00817EEE">
                      <w:t>©</w:t>
                    </w:r>
                    <w:r w:rsidR="0017247D">
                      <w:t xml:space="preserve"> </w:t>
                    </w:r>
                    <w:r w:rsidRPr="00817EEE">
                      <w:t>20</w:t>
                    </w:r>
                    <w:r w:rsidR="000D6BF3">
                      <w:t>2</w:t>
                    </w:r>
                    <w:r w:rsidR="00D9024F">
                      <w:t>2</w:t>
                    </w:r>
                    <w:r>
                      <w:t xml:space="preserve"> </w:t>
                    </w:r>
                    <w:r w:rsidRPr="00817EEE">
                      <w:t>Zywave, Inc.</w:t>
                    </w:r>
                    <w:r>
                      <w:t xml:space="preserve"> </w:t>
                    </w:r>
                    <w:r w:rsidRPr="00817EEE">
                      <w:t>All rights reserved.</w:t>
                    </w:r>
                  </w:p>
                  <w:p w:rsidR="00796AD3" w:rsidRPr="00947E11" w:rsidP="00796AD3" w14:paraId="459DCF12" w14:textId="77777777">
                    <w:pPr>
                      <w:pStyle w:val="Disclaimer"/>
                      <w:rPr>
                        <w:szCs w:val="16"/>
                      </w:rPr>
                    </w:pPr>
                  </w:p>
                  <w:p w:rsidR="00796AD3" w:rsidRPr="00947E11" w:rsidP="00796AD3" w14:paraId="521DB32A" w14:textId="77777777">
                    <w:pPr>
                      <w:pStyle w:val="Disclaimer"/>
                      <w:rPr>
                        <w:szCs w:val="16"/>
                      </w:rPr>
                    </w:pPr>
                  </w:p>
                  <w:p w:rsidR="008F7B15" w:rsidRPr="00947E11" w:rsidP="008F7B15" w14:paraId="586F32FD" w14:textId="77777777">
                    <w:pPr>
                      <w:pStyle w:val="Disclaimer"/>
                      <w:rPr>
                        <w:szCs w:val="16"/>
                      </w:rPr>
                    </w:pPr>
                  </w:p>
                </w:txbxContent>
              </v:textbox>
              <w10:wrap anchorx="margin"/>
            </v:shape>
          </w:pict>
        </mc:Fallback>
      </mc:AlternateContent>
    </w:r>
    <w:r w:rsidR="00A65FD8">
      <w:rPr>
        <w:noProof/>
      </w:rPr>
      <mc:AlternateContent>
        <mc:Choice Requires="wps">
          <w:drawing>
            <wp:anchor distT="0" distB="0" distL="114300" distR="114300" simplePos="0" relativeHeight="251661312" behindDoc="0" locked="0" layoutInCell="1" allowOverlap="1">
              <wp:simplePos x="0" y="0"/>
              <wp:positionH relativeFrom="margin">
                <wp:posOffset>7620</wp:posOffset>
              </wp:positionH>
              <wp:positionV relativeFrom="margin">
                <wp:posOffset>6043930</wp:posOffset>
              </wp:positionV>
              <wp:extent cx="4366260" cy="0"/>
              <wp:effectExtent l="19050" t="19050" r="1524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4366260" cy="0"/>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2336" from="0.6pt,475.9pt" to="344.4pt,475.9pt" strokecolor="#4472c4" strokeweight="3.5pt">
              <v:stroke joinstyle="miter" opacity="49087f"/>
              <w10:wrap anchorx="margin" anchory="margin"/>
            </v:line>
          </w:pict>
        </mc:Fallback>
      </mc:AlternateContent>
    </w:r>
    <w:r w:rsidR="0098636D">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45905645"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-467360</wp:posOffset>
          </wp:positionV>
          <wp:extent cx="7772397" cy="3856498"/>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7" cy="3856498"/>
                  </a:xfrm>
                  <a:prstGeom prst="rect">
                    <a:avLst/>
                  </a:prstGeom>
                </pic:spPr>
              </pic:pic>
            </a:graphicData>
          </a:graphic>
          <wp14:sizeRelH relativeFrom="page">
            <wp14:pctWidth>0</wp14:pctWidth>
          </wp14:sizeRelH>
          <wp14:sizeRelV relativeFrom="page">
            <wp14:pctHeight>0</wp14:pctHeight>
          </wp14:sizeRelV>
        </wp:anchor>
      </w:drawing>
    </w:r>
    <w:r w:rsidR="00D35AF9">
      <w:rPr>
        <w:noProof/>
      </w:rPr>
      <mc:AlternateContent>
        <mc:Choice Requires="wps">
          <w:drawing>
            <wp:anchor distT="45720" distB="45720" distL="114300" distR="114300" simplePos="0" relativeHeight="251659264" behindDoc="0" locked="0" layoutInCell="1" allowOverlap="1">
              <wp:simplePos x="0" y="0"/>
              <wp:positionH relativeFrom="column">
                <wp:posOffset>4572000</wp:posOffset>
              </wp:positionH>
              <wp:positionV relativeFrom="page">
                <wp:posOffset>2550160</wp:posOffset>
              </wp:positionV>
              <wp:extent cx="2413000" cy="329565"/>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3000" cy="329565"/>
                      </a:xfrm>
                      <a:prstGeom prst="rect">
                        <a:avLst/>
                      </a:prstGeom>
                      <a:noFill/>
                      <a:ln w="9525">
                        <a:noFill/>
                        <a:miter lim="800000"/>
                        <a:headEnd/>
                        <a:tailEnd/>
                      </a:ln>
                    </wps:spPr>
                    <wps:txbx>
                      <w:txbxContent>
                        <w:p w:rsidR="00D35AF9" w:rsidRPr="00D35AF9" w:rsidP="00D35AF9" w14:textId="77777777">
                          <w:pPr>
                            <w:pStyle w:val="SubHeader"/>
                            <w:rPr>
                              <w:color w:val="FFFFFF" w:themeColor="background1"/>
                              <w:sz w:val="32"/>
                              <w:szCs w:val="32"/>
                            </w:rPr>
                          </w:pPr>
                          <w:r>
                            <w:rPr>
                              <w:color w:val="FFFFFF" w:themeColor="background1"/>
                              <w:sz w:val="32"/>
                              <w:szCs w:val="32"/>
                            </w:rPr>
                            <w:t>Important Dates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90pt;height:25.95pt;margin-top:200.8pt;margin-left:5in;mso-height-percent:0;mso-height-relative:margin;mso-position-vertical-relative:page;mso-width-percent:0;mso-width-relative:margin;mso-wrap-distance-bottom:3.6pt;mso-wrap-distance-left:9pt;mso-wrap-distance-right:9pt;mso-wrap-distance-top:3.6pt;mso-wrap-style:square;position:absolute;v-text-anchor:top;visibility:visible;z-index:251660288" filled="f" stroked="f">
              <v:textbox>
                <w:txbxContent>
                  <w:p w:rsidR="00D35AF9" w:rsidRPr="00D35AF9" w:rsidP="00D35AF9" w14:paraId="4BC72D34" w14:textId="77777777">
                    <w:pPr>
                      <w:pStyle w:val="SubHeader"/>
                      <w:rPr>
                        <w:color w:val="FFFFFF" w:themeColor="background1"/>
                        <w:sz w:val="32"/>
                        <w:szCs w:val="32"/>
                      </w:rPr>
                    </w:pPr>
                    <w:r>
                      <w:rPr>
                        <w:color w:val="FFFFFF" w:themeColor="background1"/>
                        <w:sz w:val="32"/>
                        <w:szCs w:val="32"/>
                      </w:rPr>
                      <w:t>Important Dates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95063"/>
    <w:multiLevelType w:val="hybridMultilevel"/>
    <w:tmpl w:val="0CE2A7C2"/>
    <w:lvl w:ilvl="0">
      <w:start w:val="1"/>
      <w:numFmt w:val="bullet"/>
      <w:pStyle w:val="BulletLis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270686"/>
    <w:multiLevelType w:val="hybridMultilevel"/>
    <w:tmpl w:val="409AC006"/>
    <w:lvl w:ilvl="0">
      <w:start w:val="1"/>
      <w:numFmt w:val="bullet"/>
      <w:pStyle w:val="Checkbox"/>
      <w:lvlText w:val=""/>
      <w:lvlJc w:val="left"/>
      <w:pPr>
        <w:ind w:left="540" w:hanging="360"/>
      </w:pPr>
      <w:rPr>
        <w:rFonts w:ascii="Wingdings" w:hAnsi="Wingdings" w:hint="default"/>
        <w:color w:val="5083C9"/>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0E1D8C"/>
    <w:multiLevelType w:val="hybridMultilevel"/>
    <w:tmpl w:val="796CB146"/>
    <w:lvl w:ilvl="0">
      <w:start w:val="1"/>
      <w:numFmt w:val="bullet"/>
      <w:pStyle w:val="Bullet"/>
      <w:lvlText w:val=""/>
      <w:lvlJc w:val="left"/>
      <w:pPr>
        <w:ind w:left="72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493AD4"/>
    <w:multiLevelType w:val="multilevel"/>
    <w:tmpl w:val="B13CDD56"/>
    <w:numStyleLink w:val="BulletedList"/>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E9"/>
    <w:rsid w:val="00001C17"/>
    <w:rsid w:val="00040C8A"/>
    <w:rsid w:val="000D6BF3"/>
    <w:rsid w:val="001050A8"/>
    <w:rsid w:val="0012162D"/>
    <w:rsid w:val="001631A4"/>
    <w:rsid w:val="0017247D"/>
    <w:rsid w:val="001725D9"/>
    <w:rsid w:val="001B1A7E"/>
    <w:rsid w:val="0022430C"/>
    <w:rsid w:val="0024208C"/>
    <w:rsid w:val="0026000D"/>
    <w:rsid w:val="002B61D1"/>
    <w:rsid w:val="002F786C"/>
    <w:rsid w:val="003267EB"/>
    <w:rsid w:val="003A6B72"/>
    <w:rsid w:val="003E0EB1"/>
    <w:rsid w:val="003E0EDB"/>
    <w:rsid w:val="00432EFE"/>
    <w:rsid w:val="0048508B"/>
    <w:rsid w:val="00485C3A"/>
    <w:rsid w:val="004967FA"/>
    <w:rsid w:val="004B125C"/>
    <w:rsid w:val="004D34B3"/>
    <w:rsid w:val="00584B55"/>
    <w:rsid w:val="005D05D9"/>
    <w:rsid w:val="005D722D"/>
    <w:rsid w:val="006A2A41"/>
    <w:rsid w:val="00707343"/>
    <w:rsid w:val="00751A7C"/>
    <w:rsid w:val="00770406"/>
    <w:rsid w:val="00796AD3"/>
    <w:rsid w:val="00802FF0"/>
    <w:rsid w:val="00817EEE"/>
    <w:rsid w:val="00855DD7"/>
    <w:rsid w:val="00856044"/>
    <w:rsid w:val="00871E9E"/>
    <w:rsid w:val="008864AB"/>
    <w:rsid w:val="008A7E71"/>
    <w:rsid w:val="008B6E8F"/>
    <w:rsid w:val="008E6E9C"/>
    <w:rsid w:val="008F7B15"/>
    <w:rsid w:val="00926535"/>
    <w:rsid w:val="009440BA"/>
    <w:rsid w:val="00947E11"/>
    <w:rsid w:val="009854E9"/>
    <w:rsid w:val="0098636D"/>
    <w:rsid w:val="00993033"/>
    <w:rsid w:val="009D4BB6"/>
    <w:rsid w:val="009E2B6A"/>
    <w:rsid w:val="009E4DC9"/>
    <w:rsid w:val="00A337BD"/>
    <w:rsid w:val="00A47C53"/>
    <w:rsid w:val="00A65FD8"/>
    <w:rsid w:val="00AB3085"/>
    <w:rsid w:val="00AD0649"/>
    <w:rsid w:val="00B00075"/>
    <w:rsid w:val="00BA7D47"/>
    <w:rsid w:val="00BB3D38"/>
    <w:rsid w:val="00BC546B"/>
    <w:rsid w:val="00BE45C1"/>
    <w:rsid w:val="00C741AE"/>
    <w:rsid w:val="00C90307"/>
    <w:rsid w:val="00CA6AD1"/>
    <w:rsid w:val="00CF5E21"/>
    <w:rsid w:val="00D2167C"/>
    <w:rsid w:val="00D35AF9"/>
    <w:rsid w:val="00D379D5"/>
    <w:rsid w:val="00D50893"/>
    <w:rsid w:val="00D76FCB"/>
    <w:rsid w:val="00D9024F"/>
    <w:rsid w:val="00DC3880"/>
    <w:rsid w:val="00DD1268"/>
    <w:rsid w:val="00E16E6C"/>
    <w:rsid w:val="00E26E72"/>
    <w:rsid w:val="00E378E3"/>
    <w:rsid w:val="00E415A3"/>
    <w:rsid w:val="00E64D05"/>
    <w:rsid w:val="00E73236"/>
    <w:rsid w:val="00EC2053"/>
    <w:rsid w:val="00EC7F87"/>
    <w:rsid w:val="00F314BC"/>
    <w:rsid w:val="00F32D2D"/>
    <w:rsid w:val="00F32F5A"/>
    <w:rsid w:val="00FA6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91A5A"/>
  <w15:chartTrackingRefBased/>
  <w15:docId w15:val="{E4003C94-2EF5-4E0F-801E-8693988D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2B61D1"/>
    <w:pPr>
      <w:spacing w:after="0" w:line="216" w:lineRule="auto"/>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2B61D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character" w:customStyle="1" w:styleId="CallOutBoxChar">
    <w:name w:val="Call Out Box Char"/>
    <w:basedOn w:val="FooterChar"/>
    <w:link w:val="CallOutBox"/>
    <w:rsid w:val="00CF5E21"/>
    <w:rPr>
      <w:b/>
      <w:i/>
      <w:color w:val="5083C9"/>
      <w:sz w:val="36"/>
      <w:szCs w:val="36"/>
    </w:rPr>
  </w:style>
  <w:style w:type="numbering" w:customStyle="1" w:styleId="BulletedList">
    <w:name w:val="Bulleted List"/>
    <w:uiPriority w:val="99"/>
    <w:rsid w:val="00DD1268"/>
    <w:pPr>
      <w:numPr>
        <w:numId w:val="5"/>
      </w:numPr>
    </w:pPr>
  </w:style>
  <w:style w:type="paragraph" w:customStyle="1" w:styleId="Bullet">
    <w:name w:val="Bullet"/>
    <w:basedOn w:val="BodyText"/>
    <w:link w:val="BulletChar"/>
    <w:qFormat/>
    <w:rsid w:val="00FA6666"/>
    <w:pPr>
      <w:numPr>
        <w:numId w:val="7"/>
      </w:numPr>
      <w:spacing w:after="0"/>
    </w:pPr>
  </w:style>
  <w:style w:type="character" w:customStyle="1" w:styleId="BulletChar">
    <w:name w:val="Bullet Char"/>
    <w:basedOn w:val="BodyTextChar"/>
    <w:link w:val="Bullet"/>
    <w:rsid w:val="00FA6666"/>
    <w:rPr>
      <w:rFonts w:ascii="Calibri" w:eastAsia="Times New Roman" w:hAnsi="Calibri" w:cs="Arial"/>
      <w:color w:val="595959"/>
      <w:szCs w:val="20"/>
    </w:rPr>
  </w:style>
  <w:style w:type="character" w:styleId="CommentReference">
    <w:name w:val="annotation reference"/>
    <w:basedOn w:val="DefaultParagraphFont"/>
    <w:uiPriority w:val="99"/>
    <w:semiHidden/>
    <w:unhideWhenUsed/>
    <w:rsid w:val="009854E9"/>
    <w:rPr>
      <w:sz w:val="16"/>
      <w:szCs w:val="16"/>
    </w:rPr>
  </w:style>
  <w:style w:type="paragraph" w:styleId="CommentText">
    <w:name w:val="annotation text"/>
    <w:basedOn w:val="Normal"/>
    <w:link w:val="CommentTextChar"/>
    <w:uiPriority w:val="99"/>
    <w:semiHidden/>
    <w:unhideWhenUsed/>
    <w:rsid w:val="009854E9"/>
    <w:pPr>
      <w:spacing w:line="240" w:lineRule="auto"/>
    </w:pPr>
    <w:rPr>
      <w:sz w:val="20"/>
      <w:szCs w:val="20"/>
    </w:rPr>
  </w:style>
  <w:style w:type="character" w:customStyle="1" w:styleId="CommentTextChar">
    <w:name w:val="Comment Text Char"/>
    <w:basedOn w:val="DefaultParagraphFont"/>
    <w:link w:val="CommentText"/>
    <w:uiPriority w:val="99"/>
    <w:semiHidden/>
    <w:rsid w:val="009854E9"/>
    <w:rPr>
      <w:sz w:val="20"/>
      <w:szCs w:val="20"/>
    </w:rPr>
  </w:style>
  <w:style w:type="paragraph" w:styleId="CommentSubject">
    <w:name w:val="annotation subject"/>
    <w:basedOn w:val="CommentText"/>
    <w:next w:val="CommentText"/>
    <w:link w:val="CommentSubjectChar"/>
    <w:uiPriority w:val="99"/>
    <w:semiHidden/>
    <w:unhideWhenUsed/>
    <w:rsid w:val="009854E9"/>
    <w:rPr>
      <w:b/>
      <w:bCs/>
    </w:rPr>
  </w:style>
  <w:style w:type="character" w:customStyle="1" w:styleId="CommentSubjectChar">
    <w:name w:val="Comment Subject Char"/>
    <w:basedOn w:val="CommentTextChar"/>
    <w:link w:val="CommentSubject"/>
    <w:uiPriority w:val="99"/>
    <w:semiHidden/>
    <w:rsid w:val="009854E9"/>
    <w:rPr>
      <w:b/>
      <w:bCs/>
      <w:sz w:val="20"/>
      <w:szCs w:val="20"/>
    </w:rPr>
  </w:style>
  <w:style w:type="paragraph" w:styleId="BalloonText">
    <w:name w:val="Balloon Text"/>
    <w:basedOn w:val="Normal"/>
    <w:link w:val="BalloonTextChar"/>
    <w:uiPriority w:val="99"/>
    <w:semiHidden/>
    <w:unhideWhenUsed/>
    <w:rsid w:val="0098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E9"/>
    <w:rPr>
      <w:rFonts w:ascii="Segoe UI" w:hAnsi="Segoe UI" w:cs="Segoe UI"/>
      <w:sz w:val="18"/>
      <w:szCs w:val="18"/>
    </w:rPr>
  </w:style>
  <w:style w:type="character" w:styleId="Hyperlink">
    <w:name w:val="Hyperlink"/>
    <w:basedOn w:val="DefaultParagraphFont"/>
    <w:uiPriority w:val="99"/>
    <w:unhideWhenUsed/>
    <w:rsid w:val="009854E9"/>
    <w:rPr>
      <w:color w:val="0563C1" w:themeColor="hyperlink"/>
      <w:u w:val="single"/>
    </w:rPr>
  </w:style>
  <w:style w:type="character" w:styleId="UnresolvedMention">
    <w:name w:val="Unresolved Mention"/>
    <w:basedOn w:val="DefaultParagraphFont"/>
    <w:uiPriority w:val="99"/>
    <w:semiHidden/>
    <w:unhideWhenUsed/>
    <w:rsid w:val="009854E9"/>
    <w:rPr>
      <w:color w:val="605E5C"/>
      <w:shd w:val="clear" w:color="auto" w:fill="E1DFDD"/>
    </w:rPr>
  </w:style>
  <w:style w:type="character" w:styleId="FollowedHyperlink">
    <w:name w:val="FollowedHyperlink"/>
    <w:basedOn w:val="DefaultParagraphFont"/>
    <w:uiPriority w:val="99"/>
    <w:semiHidden/>
    <w:unhideWhenUsed/>
    <w:rsid w:val="003E0E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irs.gov/pub/irs-drop/n-23-03.pdf" TargetMode="External"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42c0a1-57f4-481c-a533-a8f3be7e2e91}" enabled="1" method="Standard" siteId="{bd0c095f-5d66-4273-a209-64796ae9197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Kelliher, Miriam</dc:creator>
  <cp:lastModifiedBy>Kelliher, Miriam</cp:lastModifiedBy>
  <cp:revision>2</cp:revision>
  <dcterms:created xsi:type="dcterms:W3CDTF">2022-12-30T15:05:00Z</dcterms:created>
  <dcterms:modified xsi:type="dcterms:W3CDTF">2022-12-30T15:05:00Z</dcterms:modified>
</cp:coreProperties>
</file>